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8AAB" w14:textId="7FE3F964" w:rsidR="00967516" w:rsidRDefault="007548AE" w:rsidP="007370C3">
      <w:pPr>
        <w:pStyle w:val="Heading1nonumber"/>
      </w:pPr>
      <w:r>
        <w:t>S</w:t>
      </w:r>
      <w:r w:rsidR="007370C3">
        <w:t>alary</w:t>
      </w:r>
      <w:r>
        <w:t xml:space="preserve"> L</w:t>
      </w:r>
      <w:r w:rsidR="007370C3">
        <w:t>etter</w:t>
      </w:r>
      <w:r>
        <w:t xml:space="preserve"> </w:t>
      </w:r>
      <w:r w:rsidR="00D128CE">
        <w:t>(</w:t>
      </w:r>
      <w:r w:rsidR="00A70316">
        <w:t>Spring 2022</w:t>
      </w:r>
      <w:r w:rsidR="00D128CE">
        <w:t>)</w:t>
      </w:r>
      <w:r w:rsidR="47908FD5">
        <w:t xml:space="preserve"> </w:t>
      </w:r>
      <w:r w:rsidR="007370C3">
        <w:t>—</w:t>
      </w:r>
      <w:r w:rsidR="77334BFE">
        <w:t xml:space="preserve"> </w:t>
      </w:r>
      <w:r w:rsidR="008A6F07">
        <w:t>all faculty</w:t>
      </w:r>
      <w:r w:rsidR="00D43E70">
        <w:t xml:space="preserve"> – revised </w:t>
      </w:r>
      <w:r w:rsidR="00A70316">
        <w:t>reflecting implementation of July 1, 2020 and July 1 2021 ATB</w:t>
      </w:r>
      <w:r w:rsidR="000E387C">
        <w:t xml:space="preserve"> </w:t>
      </w:r>
    </w:p>
    <w:p w14:paraId="51F595AA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557B88E7" w14:textId="77777777" w:rsidR="007E0F9F" w:rsidRPr="007370C3" w:rsidRDefault="00C64604" w:rsidP="007370C3">
      <w:r w:rsidRPr="007370C3">
        <w:t>[date]</w:t>
      </w:r>
    </w:p>
    <w:p w14:paraId="7F3FE034" w14:textId="77777777" w:rsidR="00DD1F7D" w:rsidRPr="007370C3" w:rsidRDefault="00DD1F7D" w:rsidP="007370C3"/>
    <w:p w14:paraId="5089265F" w14:textId="77777777" w:rsidR="001F28F4" w:rsidRPr="007370C3" w:rsidRDefault="001F28F4" w:rsidP="007370C3">
      <w:r w:rsidRPr="007370C3">
        <w:t>[name]</w:t>
      </w:r>
    </w:p>
    <w:p w14:paraId="51EC0B9B" w14:textId="77777777" w:rsidR="00DD1F7D" w:rsidRPr="007370C3" w:rsidRDefault="00DD1F7D" w:rsidP="007370C3"/>
    <w:p w14:paraId="6786164B" w14:textId="77777777" w:rsidR="007E0F9F" w:rsidRDefault="007E0F9F" w:rsidP="007370C3">
      <w:proofErr w:type="gramStart"/>
      <w:r>
        <w:t>Dear</w:t>
      </w:r>
      <w:r w:rsidR="00CC760E">
        <w:t xml:space="preserve">  [</w:t>
      </w:r>
      <w:proofErr w:type="gramEnd"/>
      <w:r w:rsidR="00CC760E">
        <w:t xml:space="preserve">   ]</w:t>
      </w:r>
      <w:r w:rsidR="00174654">
        <w:t>:</w:t>
      </w:r>
    </w:p>
    <w:p w14:paraId="1E12250C" w14:textId="77777777" w:rsidR="00174336" w:rsidRDefault="00174336" w:rsidP="007370C3"/>
    <w:p w14:paraId="41FA165A" w14:textId="0459F792" w:rsidR="00A70316" w:rsidRDefault="00E83B47" w:rsidP="00E3347E">
      <w:bookmarkStart w:id="0" w:name="_Hlk95907540"/>
      <w:r w:rsidRPr="00E83B47">
        <w:t xml:space="preserve">I am writing to you concerning </w:t>
      </w:r>
      <w:r w:rsidR="00176B5F">
        <w:t xml:space="preserve">increases that are being </w:t>
      </w:r>
      <w:r w:rsidR="001731D1">
        <w:t>added</w:t>
      </w:r>
      <w:r w:rsidR="00176B5F">
        <w:t xml:space="preserve"> </w:t>
      </w:r>
      <w:r w:rsidR="00A70316">
        <w:t xml:space="preserve">to your </w:t>
      </w:r>
      <w:r w:rsidR="0007376F">
        <w:t>base</w:t>
      </w:r>
      <w:r w:rsidR="00A70316">
        <w:t xml:space="preserve"> salary as </w:t>
      </w:r>
      <w:r w:rsidR="001731D1">
        <w:t xml:space="preserve">last </w:t>
      </w:r>
      <w:r w:rsidR="00A70316">
        <w:t>communicated to you in</w:t>
      </w:r>
      <w:r w:rsidR="0007376F">
        <w:t xml:space="preserve"> </w:t>
      </w:r>
      <w:r w:rsidR="00A70316">
        <w:t>August</w:t>
      </w:r>
      <w:r w:rsidR="002619B4">
        <w:t xml:space="preserve"> 2021</w:t>
      </w:r>
      <w:r w:rsidR="00A70316">
        <w:t xml:space="preserve">. </w:t>
      </w:r>
      <w:bookmarkStart w:id="1" w:name="_Hlk96494427"/>
      <w:r w:rsidR="0007376F" w:rsidRPr="0007376F">
        <w:rPr>
          <w:b/>
          <w:bCs/>
          <w:i/>
          <w:iCs/>
        </w:rPr>
        <w:t xml:space="preserve">[adjust date as required] </w:t>
      </w:r>
    </w:p>
    <w:bookmarkEnd w:id="0"/>
    <w:bookmarkEnd w:id="1"/>
    <w:p w14:paraId="355505D9" w14:textId="77777777" w:rsidR="00A70316" w:rsidRDefault="00A70316" w:rsidP="00E3347E"/>
    <w:p w14:paraId="5E5FB7AE" w14:textId="797DBF5B" w:rsidR="00ED682E" w:rsidRDefault="009D3C07" w:rsidP="000E387C">
      <w:r w:rsidRPr="009D3C07">
        <w:t xml:space="preserve">The University and </w:t>
      </w:r>
      <w:r w:rsidR="00F25634">
        <w:t>the University of Toronto Faculty Association</w:t>
      </w:r>
      <w:r w:rsidR="00F25634" w:rsidRPr="009D3C07">
        <w:t xml:space="preserve"> </w:t>
      </w:r>
      <w:r w:rsidR="00F25634">
        <w:t>(</w:t>
      </w:r>
      <w:r w:rsidRPr="009D3C07">
        <w:t>UTFA</w:t>
      </w:r>
      <w:r w:rsidR="00F25634">
        <w:t>)</w:t>
      </w:r>
      <w:r w:rsidRPr="009D3C07">
        <w:t xml:space="preserve"> have reached an agreement on </w:t>
      </w:r>
      <w:r w:rsidR="00ED682E">
        <w:t xml:space="preserve">Salary, </w:t>
      </w:r>
      <w:r w:rsidR="00A70316">
        <w:t>B</w:t>
      </w:r>
      <w:r w:rsidR="00ED682E">
        <w:t xml:space="preserve">enefits and </w:t>
      </w:r>
      <w:r w:rsidR="00A70316">
        <w:t>W</w:t>
      </w:r>
      <w:r w:rsidR="00ED682E">
        <w:t xml:space="preserve">orkload </w:t>
      </w:r>
      <w:r w:rsidR="00A72C2E">
        <w:t>for</w:t>
      </w:r>
      <w:r w:rsidR="00A70316" w:rsidRPr="00A70316">
        <w:t xml:space="preserve"> the period July 1, 2020-June 30, 2023</w:t>
      </w:r>
      <w:r w:rsidR="0007376F">
        <w:t>.</w:t>
      </w:r>
      <w:r w:rsidR="00A72C2E">
        <w:t xml:space="preserve"> </w:t>
      </w:r>
    </w:p>
    <w:p w14:paraId="5BDC9192" w14:textId="77777777" w:rsidR="00A72C2E" w:rsidRDefault="00A72C2E" w:rsidP="000E387C"/>
    <w:p w14:paraId="22A8922E" w14:textId="214F9A20" w:rsidR="00A70316" w:rsidRDefault="00A70316" w:rsidP="000E387C">
      <w:r>
        <w:t xml:space="preserve">This agreement includes across the board (ATB) increases </w:t>
      </w:r>
      <w:r w:rsidR="00A72C2E">
        <w:t xml:space="preserve">for the </w:t>
      </w:r>
      <w:proofErr w:type="gramStart"/>
      <w:r w:rsidR="00A72C2E">
        <w:t>two year</w:t>
      </w:r>
      <w:proofErr w:type="gramEnd"/>
      <w:r w:rsidR="00A72C2E">
        <w:t xml:space="preserve"> period beginning </w:t>
      </w:r>
      <w:r>
        <w:t xml:space="preserve">July 1, 2020 and </w:t>
      </w:r>
      <w:r w:rsidR="00A72C2E">
        <w:t>ending June 30,</w:t>
      </w:r>
      <w:r>
        <w:t xml:space="preserve"> 202</w:t>
      </w:r>
      <w:r w:rsidR="00A72C2E">
        <w:t>2</w:t>
      </w:r>
      <w:r>
        <w:t xml:space="preserve"> as follows: </w:t>
      </w:r>
    </w:p>
    <w:p w14:paraId="3F2427AB" w14:textId="77777777" w:rsidR="00A70316" w:rsidRPr="00A70316" w:rsidRDefault="00A70316" w:rsidP="00A70316">
      <w:pPr>
        <w:numPr>
          <w:ilvl w:val="0"/>
          <w:numId w:val="15"/>
        </w:numPr>
        <w:tabs>
          <w:tab w:val="left" w:pos="432"/>
        </w:tabs>
        <w:spacing w:after="200" w:line="290" w:lineRule="exact"/>
        <w:contextualSpacing/>
        <w:jc w:val="both"/>
        <w:rPr>
          <w:rFonts w:eastAsiaTheme="minorHAnsi" w:cstheme="minorBidi"/>
          <w:szCs w:val="20"/>
          <w:lang w:val="en-CA"/>
        </w:rPr>
      </w:pPr>
      <w:r w:rsidRPr="00A70316">
        <w:rPr>
          <w:rFonts w:eastAsiaTheme="minorHAnsi" w:cstheme="minorBidi"/>
          <w:szCs w:val="20"/>
          <w:lang w:val="en-CA"/>
        </w:rPr>
        <w:t>An across the board increase of 1% retroactive to July 1, 2020</w:t>
      </w:r>
    </w:p>
    <w:p w14:paraId="6912AEEC" w14:textId="3F15796F" w:rsidR="00A70316" w:rsidRDefault="00A70316" w:rsidP="00A70316">
      <w:pPr>
        <w:numPr>
          <w:ilvl w:val="0"/>
          <w:numId w:val="15"/>
        </w:numPr>
        <w:tabs>
          <w:tab w:val="left" w:pos="432"/>
        </w:tabs>
        <w:spacing w:after="200" w:line="290" w:lineRule="exact"/>
        <w:contextualSpacing/>
        <w:jc w:val="both"/>
        <w:rPr>
          <w:rFonts w:eastAsiaTheme="minorHAnsi" w:cstheme="minorBidi"/>
          <w:szCs w:val="20"/>
          <w:lang w:val="en-CA"/>
        </w:rPr>
      </w:pPr>
      <w:r w:rsidRPr="00A70316">
        <w:rPr>
          <w:rFonts w:eastAsiaTheme="minorHAnsi" w:cstheme="minorBidi"/>
          <w:szCs w:val="20"/>
          <w:lang w:val="en-CA"/>
        </w:rPr>
        <w:t>An across the board increase of 1% retroactive to July 1, 2021</w:t>
      </w:r>
    </w:p>
    <w:p w14:paraId="35E0797B" w14:textId="77777777" w:rsidR="00DA0308" w:rsidRPr="00A70316" w:rsidRDefault="00DA0308" w:rsidP="00DA0308">
      <w:pPr>
        <w:tabs>
          <w:tab w:val="left" w:pos="432"/>
        </w:tabs>
        <w:spacing w:after="200" w:line="290" w:lineRule="exact"/>
        <w:ind w:left="720"/>
        <w:contextualSpacing/>
        <w:jc w:val="both"/>
        <w:rPr>
          <w:rFonts w:eastAsiaTheme="minorHAnsi" w:cstheme="minorBidi"/>
          <w:szCs w:val="20"/>
          <w:lang w:val="en-CA"/>
        </w:rPr>
      </w:pPr>
    </w:p>
    <w:p w14:paraId="4D427F73" w14:textId="5E4943A8" w:rsidR="001D2603" w:rsidRPr="001D2603" w:rsidRDefault="001D2603" w:rsidP="001D2603">
      <w:pPr>
        <w:tabs>
          <w:tab w:val="left" w:pos="432"/>
        </w:tabs>
        <w:spacing w:after="200" w:line="290" w:lineRule="exact"/>
        <w:rPr>
          <w:rFonts w:eastAsiaTheme="minorHAnsi" w:cstheme="minorBidi"/>
          <w:szCs w:val="20"/>
          <w:lang w:val="en-CA"/>
        </w:rPr>
      </w:pPr>
      <w:r>
        <w:rPr>
          <w:rFonts w:eastAsiaTheme="minorHAnsi" w:cstheme="minorBidi"/>
          <w:szCs w:val="20"/>
          <w:lang w:val="en-CA"/>
        </w:rPr>
        <w:t>Further, th</w:t>
      </w:r>
      <w:r w:rsidRPr="001D2603">
        <w:rPr>
          <w:rFonts w:eastAsiaTheme="minorHAnsi" w:cstheme="minorBidi"/>
          <w:szCs w:val="20"/>
          <w:lang w:val="en-CA"/>
        </w:rPr>
        <w:t xml:space="preserve">e agreement </w:t>
      </w:r>
      <w:r w:rsidR="00176B5F">
        <w:rPr>
          <w:rFonts w:eastAsiaTheme="minorHAnsi" w:cstheme="minorBidi"/>
          <w:szCs w:val="20"/>
          <w:lang w:val="en-CA"/>
        </w:rPr>
        <w:t xml:space="preserve">also </w:t>
      </w:r>
      <w:r w:rsidRPr="001D2603">
        <w:rPr>
          <w:rFonts w:eastAsiaTheme="minorHAnsi" w:cstheme="minorBidi"/>
          <w:szCs w:val="20"/>
          <w:lang w:val="en-CA"/>
        </w:rPr>
        <w:t xml:space="preserve">includes the provision that: </w:t>
      </w:r>
      <w:r w:rsidRPr="001D2603">
        <w:rPr>
          <w:rFonts w:eastAsiaTheme="minorHAnsi" w:cstheme="minorBidi"/>
          <w:b/>
          <w:i/>
          <w:szCs w:val="20"/>
          <w:lang w:val="en-CA"/>
        </w:rPr>
        <w:t xml:space="preserve">The University will make an additional payment of PTR for the 2020-21 assessment period retroactive to July 1, </w:t>
      </w:r>
      <w:proofErr w:type="gramStart"/>
      <w:r w:rsidRPr="001D2603">
        <w:rPr>
          <w:rFonts w:eastAsiaTheme="minorHAnsi" w:cstheme="minorBidi"/>
          <w:b/>
          <w:i/>
          <w:szCs w:val="20"/>
          <w:lang w:val="en-CA"/>
        </w:rPr>
        <w:t>2021</w:t>
      </w:r>
      <w:proofErr w:type="gramEnd"/>
      <w:r w:rsidRPr="001D2603">
        <w:rPr>
          <w:rFonts w:eastAsiaTheme="minorHAnsi" w:cstheme="minorBidi"/>
          <w:b/>
          <w:i/>
          <w:szCs w:val="20"/>
          <w:lang w:val="en-CA"/>
        </w:rPr>
        <w:t xml:space="preserve"> of </w:t>
      </w:r>
      <w:r w:rsidR="00AF3ACF">
        <w:rPr>
          <w:rFonts w:eastAsiaTheme="minorHAnsi" w:cstheme="minorBidi"/>
          <w:b/>
          <w:i/>
          <w:szCs w:val="20"/>
          <w:lang w:val="en-CA"/>
        </w:rPr>
        <w:t>any additional amount</w:t>
      </w:r>
      <w:r w:rsidR="00AF3ACF" w:rsidRPr="001D2603">
        <w:rPr>
          <w:rFonts w:eastAsiaTheme="minorHAnsi" w:cstheme="minorBidi"/>
          <w:b/>
          <w:i/>
          <w:szCs w:val="20"/>
          <w:lang w:val="en-CA"/>
        </w:rPr>
        <w:t xml:space="preserve"> </w:t>
      </w:r>
      <w:r w:rsidRPr="001D2603">
        <w:rPr>
          <w:rFonts w:eastAsiaTheme="minorHAnsi" w:cstheme="minorBidi"/>
          <w:b/>
          <w:i/>
          <w:szCs w:val="20"/>
          <w:lang w:val="en-CA"/>
        </w:rPr>
        <w:t>owing based on moving the breakpoints and increments by the 1% amount of the ATB percentage wage increase agreed to for the period July 1, 2020 to June 30, 2021</w:t>
      </w:r>
      <w:r w:rsidRPr="001D2603">
        <w:rPr>
          <w:rFonts w:eastAsiaTheme="minorHAnsi" w:cstheme="minorBidi"/>
          <w:szCs w:val="20"/>
          <w:lang w:val="en-CA"/>
        </w:rPr>
        <w:t xml:space="preserve">. </w:t>
      </w:r>
    </w:p>
    <w:p w14:paraId="4DED1789" w14:textId="317A1519" w:rsidR="009322B7" w:rsidRDefault="00750065" w:rsidP="009322B7">
      <w:r>
        <w:t xml:space="preserve">The following sets out your </w:t>
      </w:r>
      <w:r w:rsidR="00AD78C7">
        <w:t>total</w:t>
      </w:r>
      <w:r w:rsidR="004D0BA4">
        <w:t xml:space="preserve"> </w:t>
      </w:r>
      <w:r>
        <w:t>salary increase</w:t>
      </w:r>
      <w:r w:rsidR="00AD78C7">
        <w:t>s</w:t>
      </w:r>
      <w:r>
        <w:t xml:space="preserve"> and </w:t>
      </w:r>
      <w:r w:rsidR="00A70316">
        <w:t xml:space="preserve">adjusted </w:t>
      </w:r>
      <w:r w:rsidR="00F63956">
        <w:t xml:space="preserve">base </w:t>
      </w:r>
      <w:r w:rsidR="00A70316">
        <w:t>salary</w:t>
      </w:r>
      <w:r w:rsidR="001D2603">
        <w:t xml:space="preserve"> </w:t>
      </w:r>
      <w:r w:rsidR="00A70316">
        <w:t>inc</w:t>
      </w:r>
      <w:r w:rsidR="001D2603">
        <w:t>luding</w:t>
      </w:r>
      <w:r w:rsidR="00A70316">
        <w:t xml:space="preserve"> these ATB increases</w:t>
      </w:r>
      <w:r w:rsidR="001D2603">
        <w:t xml:space="preserve"> for the period covered</w:t>
      </w:r>
      <w:r w:rsidR="00A70316">
        <w:t xml:space="preserve">. </w:t>
      </w:r>
      <w:r w:rsidR="001D2603">
        <w:t xml:space="preserve">Your adjusted </w:t>
      </w:r>
      <w:r>
        <w:t>base salary</w:t>
      </w:r>
      <w:r w:rsidR="008578AA">
        <w:t xml:space="preserve"> effective July 1, </w:t>
      </w:r>
      <w:proofErr w:type="gramStart"/>
      <w:r w:rsidR="008578AA">
        <w:t>20</w:t>
      </w:r>
      <w:r w:rsidR="00E3347E">
        <w:t>2</w:t>
      </w:r>
      <w:r w:rsidR="005C7063">
        <w:t>1</w:t>
      </w:r>
      <w:proofErr w:type="gramEnd"/>
      <w:r w:rsidR="001D2603">
        <w:t xml:space="preserve"> including any retroactive pay will be </w:t>
      </w:r>
      <w:r w:rsidR="00F25634">
        <w:t xml:space="preserve">reflected </w:t>
      </w:r>
      <w:r w:rsidR="7D0F93DF">
        <w:t>i</w:t>
      </w:r>
      <w:r w:rsidR="00F25634">
        <w:t xml:space="preserve">n the </w:t>
      </w:r>
      <w:r w:rsidR="009322B7">
        <w:t>March/</w:t>
      </w:r>
      <w:r w:rsidR="001D2603">
        <w:t>April</w:t>
      </w:r>
      <w:r w:rsidR="009322B7">
        <w:t>/May</w:t>
      </w:r>
      <w:r w:rsidR="001D2603">
        <w:t xml:space="preserve"> 2022</w:t>
      </w:r>
      <w:r w:rsidR="00F25634">
        <w:t xml:space="preserve"> pay run.</w:t>
      </w:r>
      <w:r w:rsidR="005C7063">
        <w:t xml:space="preserve"> </w:t>
      </w:r>
      <w:r w:rsidR="009322B7" w:rsidRPr="0007376F">
        <w:rPr>
          <w:b/>
          <w:bCs/>
          <w:i/>
          <w:iCs/>
        </w:rPr>
        <w:t>[</w:t>
      </w:r>
      <w:r w:rsidR="009322B7">
        <w:rPr>
          <w:b/>
          <w:bCs/>
          <w:i/>
          <w:iCs/>
        </w:rPr>
        <w:t>select month as appropriate</w:t>
      </w:r>
      <w:r w:rsidR="009322B7" w:rsidRPr="0007376F">
        <w:rPr>
          <w:b/>
          <w:bCs/>
          <w:i/>
          <w:iCs/>
        </w:rPr>
        <w:t xml:space="preserve">] </w:t>
      </w:r>
    </w:p>
    <w:p w14:paraId="6524208D" w14:textId="1BACC288" w:rsidR="009B254E" w:rsidRDefault="009B254E" w:rsidP="32A9BD6F"/>
    <w:p w14:paraId="02944257" w14:textId="3A0120D1" w:rsidR="00F63956" w:rsidRDefault="00F63956" w:rsidP="32A9BD6F"/>
    <w:p w14:paraId="5854D2A8" w14:textId="7666068B" w:rsidR="002619B4" w:rsidRDefault="002619B4" w:rsidP="32A9BD6F">
      <w:pPr>
        <w:rPr>
          <w:u w:val="single"/>
        </w:rPr>
      </w:pPr>
      <w:r w:rsidRPr="002619B4">
        <w:rPr>
          <w:u w:val="single"/>
        </w:rPr>
        <w:t xml:space="preserve">July 1 2020 Base Salary Calculation </w:t>
      </w:r>
    </w:p>
    <w:p w14:paraId="4315E687" w14:textId="77777777" w:rsidR="002619B4" w:rsidRDefault="002619B4" w:rsidP="32A9BD6F">
      <w:pPr>
        <w:rPr>
          <w:u w:val="single"/>
        </w:rPr>
      </w:pPr>
    </w:p>
    <w:tbl>
      <w:tblPr>
        <w:tblW w:w="100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780"/>
      </w:tblGrid>
      <w:tr w:rsidR="00F63956" w:rsidRPr="00C35EBC" w14:paraId="131DF4DB" w14:textId="77777777" w:rsidTr="00F63956">
        <w:tc>
          <w:tcPr>
            <w:tcW w:w="6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F7DC0" w14:textId="77777777" w:rsidR="00F63956" w:rsidRPr="00C35EBC" w:rsidRDefault="00F63956" w:rsidP="007479B6">
            <w:pPr>
              <w:pStyle w:val="TableText"/>
            </w:pPr>
            <w:r w:rsidRPr="00C35EBC">
              <w:t>June 30, 20</w:t>
            </w:r>
            <w:r>
              <w:t>20</w:t>
            </w:r>
            <w:r w:rsidRPr="00C35EBC">
              <w:t xml:space="preserve"> base salary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DB7E6CB" w14:textId="77777777" w:rsidR="00F63956" w:rsidRPr="00C35EBC" w:rsidRDefault="00F63956" w:rsidP="007479B6">
            <w:pPr>
              <w:pStyle w:val="TableText"/>
            </w:pPr>
            <w:r w:rsidRPr="00C35EBC">
              <w:t>$</w:t>
            </w:r>
          </w:p>
        </w:tc>
      </w:tr>
      <w:tr w:rsidR="00F63956" w:rsidRPr="00C35EBC" w14:paraId="1653119A" w14:textId="77777777" w:rsidTr="00F63956"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4739D1" w14:textId="77777777" w:rsidR="00F63956" w:rsidRPr="00A81E8C" w:rsidRDefault="00F63956" w:rsidP="007479B6">
            <w:pPr>
              <w:pStyle w:val="TableText"/>
            </w:pPr>
            <w:r w:rsidRPr="00A81E8C">
              <w:t>July 1, 2020 0.9% one-time special base salary increase applied up to the maximum pensionable salary cap of $169,500 (thus, maximum increase is $1,525.50)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A81F2F8" w14:textId="77777777" w:rsidR="00F63956" w:rsidRPr="00A81E8C" w:rsidRDefault="00F63956" w:rsidP="007479B6">
            <w:pPr>
              <w:pStyle w:val="TableText"/>
            </w:pPr>
            <w:r w:rsidRPr="00A81E8C">
              <w:t>$</w:t>
            </w:r>
          </w:p>
        </w:tc>
      </w:tr>
      <w:tr w:rsidR="00F63956" w:rsidRPr="00C35EBC" w14:paraId="28342B76" w14:textId="77777777" w:rsidTr="00F63956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6FDF1" w14:textId="77777777" w:rsidR="00F63956" w:rsidRDefault="00F63956" w:rsidP="007479B6">
            <w:pPr>
              <w:pStyle w:val="TableText"/>
            </w:pPr>
            <w:r>
              <w:t>July 1, 2020 PTR merit award</w:t>
            </w:r>
            <w:r>
              <w:tab/>
            </w:r>
          </w:p>
          <w:p w14:paraId="51D8B47B" w14:textId="77777777" w:rsidR="00F63956" w:rsidRDefault="00F63956" w:rsidP="007479B6">
            <w:pPr>
              <w:pStyle w:val="TableText"/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90B9CA" w14:textId="77777777" w:rsidR="00F63956" w:rsidRPr="00C35EBC" w:rsidRDefault="00F63956" w:rsidP="007479B6">
            <w:pPr>
              <w:pStyle w:val="TableText"/>
            </w:pPr>
            <w:r>
              <w:t>$</w:t>
            </w:r>
          </w:p>
        </w:tc>
      </w:tr>
      <w:tr w:rsidR="00F63956" w:rsidRPr="00C35EBC" w14:paraId="178936AC" w14:textId="77777777" w:rsidTr="00F63956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dashSmallGap" w:sz="18" w:space="0" w:color="auto"/>
              <w:right w:val="single" w:sz="2" w:space="0" w:color="auto"/>
            </w:tcBorders>
            <w:shd w:val="clear" w:color="auto" w:fill="auto"/>
          </w:tcPr>
          <w:p w14:paraId="747426BB" w14:textId="6D12C3F8" w:rsidR="00F63956" w:rsidRDefault="00F63956" w:rsidP="00FC341E">
            <w:pPr>
              <w:pStyle w:val="TableText"/>
            </w:pPr>
            <w:r>
              <w:t xml:space="preserve">July 1, 2020 5% Merit award - Excellence/Small Group </w:t>
            </w:r>
            <w:r w:rsidR="00FC341E">
              <w:t>a</w:t>
            </w:r>
            <w:r>
              <w:t xml:space="preserve">ward, </w:t>
            </w:r>
            <w:r w:rsidRPr="007F1F0B">
              <w:rPr>
                <w:b/>
                <w:i/>
              </w:rPr>
              <w:t>[delete this row if not applicable]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dashSmallGap" w:sz="18" w:space="0" w:color="auto"/>
              <w:right w:val="single" w:sz="18" w:space="0" w:color="auto"/>
            </w:tcBorders>
            <w:shd w:val="clear" w:color="auto" w:fill="auto"/>
          </w:tcPr>
          <w:p w14:paraId="26FEC99C" w14:textId="77777777" w:rsidR="00F63956" w:rsidRPr="00C35EBC" w:rsidRDefault="00F63956" w:rsidP="007479B6">
            <w:pPr>
              <w:pStyle w:val="TableText"/>
            </w:pPr>
            <w:r>
              <w:t>$</w:t>
            </w:r>
          </w:p>
        </w:tc>
      </w:tr>
      <w:tr w:rsidR="00F63956" w:rsidRPr="00C35EBC" w14:paraId="3970E2F5" w14:textId="77777777" w:rsidTr="00FC341E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2538ACD" w14:textId="7AE726D7" w:rsidR="00F63956" w:rsidRDefault="00F63956" w:rsidP="00A46DDE">
            <w:pPr>
              <w:pStyle w:val="TableText"/>
            </w:pPr>
            <w:r w:rsidRPr="002619B4">
              <w:rPr>
                <w:b/>
              </w:rPr>
              <w:lastRenderedPageBreak/>
              <w:t>NEW</w:t>
            </w:r>
            <w:r>
              <w:t xml:space="preserve"> </w:t>
            </w:r>
            <w:r w:rsidR="00A46DDE">
              <w:t>July 1, 2020</w:t>
            </w:r>
            <w:r w:rsidR="00A46DDE" w:rsidRPr="00C35EBC">
              <w:t xml:space="preserve"> 1.0% ATB</w:t>
            </w:r>
          </w:p>
        </w:tc>
        <w:tc>
          <w:tcPr>
            <w:tcW w:w="3780" w:type="dxa"/>
            <w:tcBorders>
              <w:top w:val="dashSmallGap" w:sz="18" w:space="0" w:color="auto"/>
              <w:left w:val="single" w:sz="2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E2EFD9" w:themeFill="accent6" w:themeFillTint="33"/>
          </w:tcPr>
          <w:p w14:paraId="6A00BD73" w14:textId="10CA11B3" w:rsidR="00F63956" w:rsidRPr="00C35EBC" w:rsidRDefault="002619B4" w:rsidP="007479B6">
            <w:pPr>
              <w:pStyle w:val="TableText"/>
            </w:pPr>
            <w:r>
              <w:t>$</w:t>
            </w:r>
          </w:p>
        </w:tc>
      </w:tr>
      <w:tr w:rsidR="00F63956" w:rsidRPr="00C35EBC" w14:paraId="7D45D93B" w14:textId="77777777" w:rsidTr="00FC341E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dashSmallGap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6032587" w14:textId="43B25D9C" w:rsidR="00F63956" w:rsidRPr="00C35EBC" w:rsidRDefault="00F63956" w:rsidP="007479B6">
            <w:pPr>
              <w:pStyle w:val="TableText"/>
            </w:pPr>
            <w:r w:rsidRPr="002619B4">
              <w:rPr>
                <w:b/>
              </w:rPr>
              <w:t>ADJUSTED</w:t>
            </w:r>
            <w:r>
              <w:t xml:space="preserve">  </w:t>
            </w:r>
            <w:r w:rsidRPr="00C35EBC">
              <w:t>July 1, 20</w:t>
            </w:r>
            <w:r>
              <w:t>20</w:t>
            </w:r>
            <w:r w:rsidRPr="00C35EBC">
              <w:t xml:space="preserve"> base salary</w:t>
            </w:r>
          </w:p>
        </w:tc>
        <w:tc>
          <w:tcPr>
            <w:tcW w:w="3780" w:type="dxa"/>
            <w:tcBorders>
              <w:top w:val="dashSmallGap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1C352A2" w14:textId="77777777" w:rsidR="00F63956" w:rsidRPr="00C35EBC" w:rsidRDefault="00F63956" w:rsidP="007479B6">
            <w:pPr>
              <w:pStyle w:val="TableText"/>
            </w:pPr>
            <w:r w:rsidRPr="00C35EBC">
              <w:t>$</w:t>
            </w:r>
          </w:p>
        </w:tc>
      </w:tr>
    </w:tbl>
    <w:p w14:paraId="5A482A8C" w14:textId="4017DFD6" w:rsidR="002619B4" w:rsidRDefault="002619B4" w:rsidP="002619B4">
      <w:pPr>
        <w:rPr>
          <w:u w:val="single"/>
        </w:rPr>
      </w:pPr>
      <w:r w:rsidRPr="002619B4">
        <w:rPr>
          <w:u w:val="single"/>
        </w:rPr>
        <w:t xml:space="preserve">July 1 2021 Base Salary Calculation </w:t>
      </w:r>
    </w:p>
    <w:p w14:paraId="6EF2DF1B" w14:textId="77777777" w:rsidR="002619B4" w:rsidRPr="002619B4" w:rsidRDefault="002619B4" w:rsidP="002619B4">
      <w:pPr>
        <w:rPr>
          <w:u w:val="single"/>
        </w:rPr>
      </w:pPr>
    </w:p>
    <w:tbl>
      <w:tblPr>
        <w:tblW w:w="100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780"/>
      </w:tblGrid>
      <w:tr w:rsidR="00750065" w:rsidRPr="00876C02" w14:paraId="15847FC4" w14:textId="77777777" w:rsidTr="00FC341E">
        <w:tc>
          <w:tcPr>
            <w:tcW w:w="6267" w:type="dxa"/>
            <w:tcBorders>
              <w:top w:val="single" w:sz="18" w:space="0" w:color="auto"/>
              <w:left w:val="single" w:sz="18" w:space="0" w:color="auto"/>
              <w:bottom w:val="dashSmallGap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E7F577" w14:textId="42D2FF89" w:rsidR="00750065" w:rsidRPr="00C35EBC" w:rsidRDefault="002619B4" w:rsidP="00EA1690">
            <w:pPr>
              <w:pStyle w:val="TableText"/>
            </w:pPr>
            <w:r>
              <w:rPr>
                <w:b/>
              </w:rPr>
              <w:t>ADJUSTED</w:t>
            </w:r>
            <w:r>
              <w:t xml:space="preserve"> </w:t>
            </w:r>
            <w:r w:rsidR="009B254E" w:rsidRPr="00C35EBC">
              <w:t>June 30, 20</w:t>
            </w:r>
            <w:r w:rsidR="00E3347E">
              <w:t>2</w:t>
            </w:r>
            <w:r w:rsidR="00EA1690">
              <w:t>1</w:t>
            </w:r>
            <w:r w:rsidR="00750065" w:rsidRPr="00C35EBC">
              <w:t xml:space="preserve"> base salary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dashSmallGap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FC0E100" w14:textId="77777777" w:rsidR="00750065" w:rsidRPr="00C35EBC" w:rsidRDefault="00750065" w:rsidP="00C35EBC">
            <w:pPr>
              <w:pStyle w:val="TableText"/>
            </w:pPr>
            <w:r w:rsidRPr="00C35EBC">
              <w:t>$</w:t>
            </w:r>
          </w:p>
        </w:tc>
      </w:tr>
      <w:tr w:rsidR="00D43E70" w:rsidRPr="00876C02" w14:paraId="7F20D792" w14:textId="77777777" w:rsidTr="002619B4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dashSmallGap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FD505C" w14:textId="495A96B7" w:rsidR="00D43E70" w:rsidRDefault="00FC341E" w:rsidP="00FC341E">
            <w:pPr>
              <w:pStyle w:val="TableText"/>
            </w:pPr>
            <w:r>
              <w:t xml:space="preserve">Original </w:t>
            </w:r>
            <w:r w:rsidR="00D46F79">
              <w:t>July 1, 20</w:t>
            </w:r>
            <w:r w:rsidR="00746E9A">
              <w:t>2</w:t>
            </w:r>
            <w:r w:rsidR="005C7063">
              <w:t>1 PTR merit award</w:t>
            </w:r>
            <w:r>
              <w:t xml:space="preserve"> </w:t>
            </w:r>
          </w:p>
        </w:tc>
        <w:tc>
          <w:tcPr>
            <w:tcW w:w="3780" w:type="dxa"/>
            <w:tcBorders>
              <w:top w:val="dashSmallGap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700A759" w14:textId="77777777" w:rsidR="00D43E70" w:rsidRPr="00C35EBC" w:rsidRDefault="00D43E70" w:rsidP="00C35EBC">
            <w:pPr>
              <w:pStyle w:val="TableText"/>
            </w:pPr>
            <w:r>
              <w:t>$</w:t>
            </w:r>
          </w:p>
        </w:tc>
      </w:tr>
      <w:tr w:rsidR="002619B4" w:rsidRPr="00876C02" w14:paraId="06F42695" w14:textId="77777777" w:rsidTr="00FC341E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4C563E" w14:textId="312452FE" w:rsidR="002619B4" w:rsidRDefault="002619B4" w:rsidP="00FC341E">
            <w:pPr>
              <w:pStyle w:val="TableText"/>
            </w:pPr>
            <w:r w:rsidRPr="002619B4">
              <w:rPr>
                <w:b/>
              </w:rPr>
              <w:t xml:space="preserve">ADJUSTED </w:t>
            </w:r>
            <w:r>
              <w:t>July 1, 2021 PTR Merit award</w:t>
            </w:r>
            <w:r w:rsidR="00716D57">
              <w:t xml:space="preserve"> based on the recalculation of breakpoints and increments</w:t>
            </w:r>
            <w:r w:rsidR="00FC341E">
              <w:t xml:space="preserve"> (1% higher)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2955BEC" w14:textId="3315C2CA" w:rsidR="002619B4" w:rsidRDefault="002619B4" w:rsidP="00C35EBC">
            <w:pPr>
              <w:pStyle w:val="TableText"/>
            </w:pPr>
            <w:r>
              <w:t>$</w:t>
            </w:r>
          </w:p>
        </w:tc>
      </w:tr>
      <w:tr w:rsidR="00D43E70" w:rsidRPr="00876C02" w14:paraId="14069979" w14:textId="77777777" w:rsidTr="002619B4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FAFEDE" w14:textId="35700BD0" w:rsidR="00D43E70" w:rsidRDefault="00FC341E" w:rsidP="00FC341E">
            <w:pPr>
              <w:pStyle w:val="TableText"/>
            </w:pPr>
            <w:r>
              <w:t xml:space="preserve">Original </w:t>
            </w:r>
            <w:r w:rsidR="00746E9A">
              <w:t>July 1, 202</w:t>
            </w:r>
            <w:r w:rsidR="005C7063">
              <w:t>1</w:t>
            </w:r>
            <w:r w:rsidR="004A6C5A">
              <w:t xml:space="preserve"> 5% Merit award </w:t>
            </w:r>
            <w:r w:rsidR="00D43E70">
              <w:t xml:space="preserve">- Excellence/Small Group </w:t>
            </w:r>
            <w:r>
              <w:t>a</w:t>
            </w:r>
            <w:r w:rsidR="00D43E70">
              <w:t xml:space="preserve">ward, </w:t>
            </w:r>
            <w:r w:rsidRPr="007F1F0B">
              <w:rPr>
                <w:b/>
                <w:i/>
              </w:rPr>
              <w:t>[delete this row if not applicable]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D1043D2" w14:textId="77777777" w:rsidR="00D43E70" w:rsidRPr="00C35EBC" w:rsidRDefault="00D43E70" w:rsidP="00C35EBC">
            <w:pPr>
              <w:pStyle w:val="TableText"/>
            </w:pPr>
            <w:r>
              <w:t>$</w:t>
            </w:r>
          </w:p>
        </w:tc>
      </w:tr>
      <w:tr w:rsidR="00FC341E" w:rsidRPr="00876C02" w14:paraId="5D3A0DF5" w14:textId="77777777" w:rsidTr="008D4D7C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A95056" w14:textId="3D82C6EF" w:rsidR="00FC341E" w:rsidRDefault="00FC341E" w:rsidP="00FC341E">
            <w:pPr>
              <w:pStyle w:val="TableText"/>
            </w:pPr>
            <w:r w:rsidRPr="002619B4">
              <w:rPr>
                <w:b/>
              </w:rPr>
              <w:t xml:space="preserve">ADJUSTED </w:t>
            </w:r>
            <w:r>
              <w:t>July 1, 2021 5% Merit award</w:t>
            </w:r>
            <w:r w:rsidRPr="00FC341E">
              <w:t xml:space="preserve">- Excellence/Small Group </w:t>
            </w:r>
            <w:r>
              <w:t>a</w:t>
            </w:r>
            <w:r w:rsidRPr="00FC341E">
              <w:t xml:space="preserve">ward, </w:t>
            </w:r>
            <w:r>
              <w:t xml:space="preserve"> based on the recalculation of breakpoints and increments (1% higher)</w:t>
            </w:r>
            <w:r w:rsidRPr="007F1F0B">
              <w:rPr>
                <w:b/>
                <w:i/>
              </w:rPr>
              <w:t xml:space="preserve"> [delete this row if not applicable]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B7BF384" w14:textId="77777777" w:rsidR="00FC341E" w:rsidRDefault="00FC341E" w:rsidP="008D4D7C">
            <w:pPr>
              <w:pStyle w:val="TableText"/>
            </w:pPr>
            <w:r>
              <w:t>$</w:t>
            </w:r>
          </w:p>
        </w:tc>
      </w:tr>
      <w:tr w:rsidR="002619B4" w:rsidRPr="00C35EBC" w14:paraId="6B1AE649" w14:textId="77777777" w:rsidTr="00FC341E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BECB662" w14:textId="13FA01BF" w:rsidR="002619B4" w:rsidRDefault="002619B4" w:rsidP="007479B6">
            <w:pPr>
              <w:pStyle w:val="TableText"/>
            </w:pPr>
            <w:r w:rsidRPr="002619B4">
              <w:rPr>
                <w:b/>
              </w:rPr>
              <w:t>NEW</w:t>
            </w:r>
            <w:r>
              <w:t xml:space="preserve"> July 1, 202</w:t>
            </w:r>
            <w:r w:rsidR="001D0740">
              <w:t>1</w:t>
            </w:r>
            <w:r w:rsidRPr="00C35EBC">
              <w:t xml:space="preserve"> 1.0% ATB</w:t>
            </w:r>
          </w:p>
        </w:tc>
        <w:tc>
          <w:tcPr>
            <w:tcW w:w="3780" w:type="dxa"/>
            <w:tcBorders>
              <w:top w:val="dashSmallGap" w:sz="18" w:space="0" w:color="auto"/>
              <w:left w:val="single" w:sz="2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E2EFD9" w:themeFill="accent6" w:themeFillTint="33"/>
          </w:tcPr>
          <w:p w14:paraId="431DD901" w14:textId="64DE9327" w:rsidR="002619B4" w:rsidRPr="00C35EBC" w:rsidRDefault="002619B4" w:rsidP="007479B6">
            <w:pPr>
              <w:pStyle w:val="TableText"/>
            </w:pPr>
            <w:r>
              <w:t>$</w:t>
            </w:r>
          </w:p>
        </w:tc>
      </w:tr>
      <w:tr w:rsidR="002619B4" w:rsidRPr="00876C02" w14:paraId="40C0EED7" w14:textId="77777777" w:rsidTr="00FC341E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2E677F" w14:textId="3354B3D6" w:rsidR="002619B4" w:rsidRPr="00C35EBC" w:rsidRDefault="002619B4" w:rsidP="005C7063">
            <w:pPr>
              <w:pStyle w:val="TableText"/>
            </w:pPr>
            <w:r w:rsidRPr="002619B4">
              <w:rPr>
                <w:b/>
              </w:rPr>
              <w:t>ADJUSTED</w:t>
            </w:r>
            <w:r>
              <w:t xml:space="preserve"> </w:t>
            </w:r>
            <w:r w:rsidRPr="00C35EBC">
              <w:t>July 1, 20</w:t>
            </w:r>
            <w:r>
              <w:t>21</w:t>
            </w:r>
            <w:r w:rsidRPr="00C35EBC">
              <w:t xml:space="preserve"> base salary</w:t>
            </w:r>
            <w:r w:rsidR="00FC341E"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44546FC" w14:textId="49C01BDB" w:rsidR="002619B4" w:rsidRPr="00C35EBC" w:rsidRDefault="002619B4" w:rsidP="00C35EBC">
            <w:pPr>
              <w:pStyle w:val="TableText"/>
            </w:pPr>
            <w:r>
              <w:t>$</w:t>
            </w:r>
          </w:p>
        </w:tc>
      </w:tr>
    </w:tbl>
    <w:p w14:paraId="0B20D586" w14:textId="77777777" w:rsidR="00206E5B" w:rsidRDefault="00206E5B" w:rsidP="007370C3"/>
    <w:p w14:paraId="05AC251D" w14:textId="77777777" w:rsidR="004C747A" w:rsidRDefault="004C747A" w:rsidP="007370C3"/>
    <w:sectPr w:rsidR="004C747A" w:rsidSect="008258ED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7FC5" w14:textId="77777777" w:rsidR="001F006F" w:rsidRDefault="001F006F" w:rsidP="007370C3">
      <w:r>
        <w:separator/>
      </w:r>
    </w:p>
  </w:endnote>
  <w:endnote w:type="continuationSeparator" w:id="0">
    <w:p w14:paraId="6E2201D7" w14:textId="77777777" w:rsidR="001F006F" w:rsidRDefault="001F006F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11D4" w14:textId="2FBB5B98" w:rsidR="002619B4" w:rsidRDefault="002D223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7376F">
      <w:rPr>
        <w:noProof/>
      </w:rPr>
      <w:t>I:\VProvAC\Academic Human Resources\Salary Admin\Memos\2021-22\Sal Letter_1% retro increases_Spring 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457A" w14:textId="77777777" w:rsidR="001F006F" w:rsidRDefault="001F006F" w:rsidP="007370C3">
      <w:r>
        <w:separator/>
      </w:r>
    </w:p>
  </w:footnote>
  <w:footnote w:type="continuationSeparator" w:id="0">
    <w:p w14:paraId="0427E872" w14:textId="77777777" w:rsidR="001F006F" w:rsidRDefault="001F006F" w:rsidP="007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BA0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8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C7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2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0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4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E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2581"/>
    <w:multiLevelType w:val="hybridMultilevel"/>
    <w:tmpl w:val="DBC83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D77A1"/>
    <w:multiLevelType w:val="hybridMultilevel"/>
    <w:tmpl w:val="93280EE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863D92"/>
    <w:multiLevelType w:val="hybridMultilevel"/>
    <w:tmpl w:val="A8EA99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FA"/>
    <w:rsid w:val="000013E9"/>
    <w:rsid w:val="00001415"/>
    <w:rsid w:val="00002D51"/>
    <w:rsid w:val="00013113"/>
    <w:rsid w:val="000134F4"/>
    <w:rsid w:val="000321B8"/>
    <w:rsid w:val="00035B89"/>
    <w:rsid w:val="000439E9"/>
    <w:rsid w:val="000523AC"/>
    <w:rsid w:val="00057CB9"/>
    <w:rsid w:val="00065E65"/>
    <w:rsid w:val="00067F26"/>
    <w:rsid w:val="0007376F"/>
    <w:rsid w:val="00092F24"/>
    <w:rsid w:val="000A4972"/>
    <w:rsid w:val="000B2C8A"/>
    <w:rsid w:val="000C2233"/>
    <w:rsid w:val="000C349D"/>
    <w:rsid w:val="000C71A6"/>
    <w:rsid w:val="000C7FFD"/>
    <w:rsid w:val="000D2504"/>
    <w:rsid w:val="000E387C"/>
    <w:rsid w:val="000F671F"/>
    <w:rsid w:val="001071ED"/>
    <w:rsid w:val="00107BC8"/>
    <w:rsid w:val="00125B82"/>
    <w:rsid w:val="0012733D"/>
    <w:rsid w:val="00134526"/>
    <w:rsid w:val="00135192"/>
    <w:rsid w:val="00135447"/>
    <w:rsid w:val="00135E40"/>
    <w:rsid w:val="00141DF8"/>
    <w:rsid w:val="001439FC"/>
    <w:rsid w:val="0014756A"/>
    <w:rsid w:val="001560C1"/>
    <w:rsid w:val="001731D1"/>
    <w:rsid w:val="00174336"/>
    <w:rsid w:val="00174654"/>
    <w:rsid w:val="00176B5F"/>
    <w:rsid w:val="00195CAE"/>
    <w:rsid w:val="00196540"/>
    <w:rsid w:val="001B4841"/>
    <w:rsid w:val="001C77E1"/>
    <w:rsid w:val="001D0740"/>
    <w:rsid w:val="001D12AC"/>
    <w:rsid w:val="001D2603"/>
    <w:rsid w:val="001D7512"/>
    <w:rsid w:val="001E1481"/>
    <w:rsid w:val="001E37B5"/>
    <w:rsid w:val="001E4A18"/>
    <w:rsid w:val="001F006F"/>
    <w:rsid w:val="001F28F4"/>
    <w:rsid w:val="001F44D5"/>
    <w:rsid w:val="00201F6C"/>
    <w:rsid w:val="00206D51"/>
    <w:rsid w:val="00206E5B"/>
    <w:rsid w:val="00230331"/>
    <w:rsid w:val="002418F7"/>
    <w:rsid w:val="0024205B"/>
    <w:rsid w:val="0024266F"/>
    <w:rsid w:val="00247436"/>
    <w:rsid w:val="002534A8"/>
    <w:rsid w:val="00254F29"/>
    <w:rsid w:val="0025513E"/>
    <w:rsid w:val="002573D4"/>
    <w:rsid w:val="002603DF"/>
    <w:rsid w:val="002619B4"/>
    <w:rsid w:val="00296A42"/>
    <w:rsid w:val="002C7CF3"/>
    <w:rsid w:val="002D223A"/>
    <w:rsid w:val="002D2E60"/>
    <w:rsid w:val="002E18DF"/>
    <w:rsid w:val="002E18E1"/>
    <w:rsid w:val="002E4F44"/>
    <w:rsid w:val="003017BF"/>
    <w:rsid w:val="00310F47"/>
    <w:rsid w:val="0034262B"/>
    <w:rsid w:val="00351353"/>
    <w:rsid w:val="00370E5F"/>
    <w:rsid w:val="003739AD"/>
    <w:rsid w:val="00374915"/>
    <w:rsid w:val="00376B9E"/>
    <w:rsid w:val="003820E0"/>
    <w:rsid w:val="00397BBA"/>
    <w:rsid w:val="003A69E7"/>
    <w:rsid w:val="003C6EF8"/>
    <w:rsid w:val="003E19E2"/>
    <w:rsid w:val="003E35D7"/>
    <w:rsid w:val="003E538A"/>
    <w:rsid w:val="0040144D"/>
    <w:rsid w:val="00401A32"/>
    <w:rsid w:val="004034F8"/>
    <w:rsid w:val="00415DDA"/>
    <w:rsid w:val="004449EB"/>
    <w:rsid w:val="004522B0"/>
    <w:rsid w:val="00454FCE"/>
    <w:rsid w:val="004566FE"/>
    <w:rsid w:val="00463E8E"/>
    <w:rsid w:val="00481DFB"/>
    <w:rsid w:val="00486420"/>
    <w:rsid w:val="00487844"/>
    <w:rsid w:val="004966D7"/>
    <w:rsid w:val="004A6C5A"/>
    <w:rsid w:val="004B000F"/>
    <w:rsid w:val="004B194C"/>
    <w:rsid w:val="004B35A0"/>
    <w:rsid w:val="004C04D8"/>
    <w:rsid w:val="004C747A"/>
    <w:rsid w:val="004D0BA4"/>
    <w:rsid w:val="004D30A5"/>
    <w:rsid w:val="004E610F"/>
    <w:rsid w:val="004E7CB5"/>
    <w:rsid w:val="004F1764"/>
    <w:rsid w:val="004F58DC"/>
    <w:rsid w:val="00501016"/>
    <w:rsid w:val="00512940"/>
    <w:rsid w:val="0051661C"/>
    <w:rsid w:val="005232FB"/>
    <w:rsid w:val="00530036"/>
    <w:rsid w:val="0053145E"/>
    <w:rsid w:val="0053202E"/>
    <w:rsid w:val="00532AE6"/>
    <w:rsid w:val="00573163"/>
    <w:rsid w:val="005911E6"/>
    <w:rsid w:val="005A2896"/>
    <w:rsid w:val="005A4488"/>
    <w:rsid w:val="005B1B70"/>
    <w:rsid w:val="005B7B03"/>
    <w:rsid w:val="005C00F5"/>
    <w:rsid w:val="005C3EBB"/>
    <w:rsid w:val="005C7063"/>
    <w:rsid w:val="005D2CF3"/>
    <w:rsid w:val="005E150B"/>
    <w:rsid w:val="0060343E"/>
    <w:rsid w:val="00613EBA"/>
    <w:rsid w:val="00623A09"/>
    <w:rsid w:val="0062477C"/>
    <w:rsid w:val="00633F59"/>
    <w:rsid w:val="0063468B"/>
    <w:rsid w:val="00636617"/>
    <w:rsid w:val="00640EB3"/>
    <w:rsid w:val="006419E8"/>
    <w:rsid w:val="00647A2A"/>
    <w:rsid w:val="00651762"/>
    <w:rsid w:val="00673B57"/>
    <w:rsid w:val="00677E2D"/>
    <w:rsid w:val="006929DD"/>
    <w:rsid w:val="00693AC7"/>
    <w:rsid w:val="006C719D"/>
    <w:rsid w:val="006D5640"/>
    <w:rsid w:val="006F4F5E"/>
    <w:rsid w:val="0071507C"/>
    <w:rsid w:val="00716D57"/>
    <w:rsid w:val="00720F1A"/>
    <w:rsid w:val="0072238D"/>
    <w:rsid w:val="007327A5"/>
    <w:rsid w:val="007370C3"/>
    <w:rsid w:val="00741000"/>
    <w:rsid w:val="007442F9"/>
    <w:rsid w:val="00746E9A"/>
    <w:rsid w:val="00750065"/>
    <w:rsid w:val="0075452A"/>
    <w:rsid w:val="007548AE"/>
    <w:rsid w:val="00766D37"/>
    <w:rsid w:val="007756FD"/>
    <w:rsid w:val="0078519E"/>
    <w:rsid w:val="007A79C6"/>
    <w:rsid w:val="007B28B7"/>
    <w:rsid w:val="007C2D47"/>
    <w:rsid w:val="007E0F9F"/>
    <w:rsid w:val="007F1F0B"/>
    <w:rsid w:val="00813FB8"/>
    <w:rsid w:val="00815E42"/>
    <w:rsid w:val="008258ED"/>
    <w:rsid w:val="00840CCB"/>
    <w:rsid w:val="00850384"/>
    <w:rsid w:val="00853DA9"/>
    <w:rsid w:val="0085569F"/>
    <w:rsid w:val="008578AA"/>
    <w:rsid w:val="00862C72"/>
    <w:rsid w:val="00876C02"/>
    <w:rsid w:val="00890C2D"/>
    <w:rsid w:val="008928EE"/>
    <w:rsid w:val="008A5298"/>
    <w:rsid w:val="008A5F84"/>
    <w:rsid w:val="008A6F07"/>
    <w:rsid w:val="008B6FC9"/>
    <w:rsid w:val="008D35FA"/>
    <w:rsid w:val="008D361D"/>
    <w:rsid w:val="008E725C"/>
    <w:rsid w:val="008F661B"/>
    <w:rsid w:val="009023A5"/>
    <w:rsid w:val="00905014"/>
    <w:rsid w:val="00910B41"/>
    <w:rsid w:val="00925E2E"/>
    <w:rsid w:val="00926977"/>
    <w:rsid w:val="009322B7"/>
    <w:rsid w:val="00942BE8"/>
    <w:rsid w:val="00967516"/>
    <w:rsid w:val="00973E6E"/>
    <w:rsid w:val="00974D4D"/>
    <w:rsid w:val="00985C9D"/>
    <w:rsid w:val="009920BD"/>
    <w:rsid w:val="00992EA8"/>
    <w:rsid w:val="00995C3C"/>
    <w:rsid w:val="009A0378"/>
    <w:rsid w:val="009A4E5D"/>
    <w:rsid w:val="009B0C75"/>
    <w:rsid w:val="009B254E"/>
    <w:rsid w:val="009D3C07"/>
    <w:rsid w:val="009D52FB"/>
    <w:rsid w:val="009F4C5E"/>
    <w:rsid w:val="00A2272C"/>
    <w:rsid w:val="00A23064"/>
    <w:rsid w:val="00A233D3"/>
    <w:rsid w:val="00A46DDE"/>
    <w:rsid w:val="00A5088C"/>
    <w:rsid w:val="00A57143"/>
    <w:rsid w:val="00A70316"/>
    <w:rsid w:val="00A72C2E"/>
    <w:rsid w:val="00A74815"/>
    <w:rsid w:val="00A81E8C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E6723"/>
    <w:rsid w:val="00AF3ACF"/>
    <w:rsid w:val="00AF6185"/>
    <w:rsid w:val="00AF67AF"/>
    <w:rsid w:val="00B035E1"/>
    <w:rsid w:val="00B1022A"/>
    <w:rsid w:val="00B11DCF"/>
    <w:rsid w:val="00B22092"/>
    <w:rsid w:val="00B227A1"/>
    <w:rsid w:val="00B2505A"/>
    <w:rsid w:val="00B26B73"/>
    <w:rsid w:val="00B27B0A"/>
    <w:rsid w:val="00B3570C"/>
    <w:rsid w:val="00B35CB2"/>
    <w:rsid w:val="00B379DB"/>
    <w:rsid w:val="00B61CC5"/>
    <w:rsid w:val="00B62B0E"/>
    <w:rsid w:val="00B75CAC"/>
    <w:rsid w:val="00B812DE"/>
    <w:rsid w:val="00B8775C"/>
    <w:rsid w:val="00BD2F03"/>
    <w:rsid w:val="00BD62D6"/>
    <w:rsid w:val="00BD7601"/>
    <w:rsid w:val="00C03D8B"/>
    <w:rsid w:val="00C10BEA"/>
    <w:rsid w:val="00C263EC"/>
    <w:rsid w:val="00C26D8B"/>
    <w:rsid w:val="00C35EBC"/>
    <w:rsid w:val="00C43CE8"/>
    <w:rsid w:val="00C607BA"/>
    <w:rsid w:val="00C63A17"/>
    <w:rsid w:val="00C64604"/>
    <w:rsid w:val="00C74187"/>
    <w:rsid w:val="00C80092"/>
    <w:rsid w:val="00C9398F"/>
    <w:rsid w:val="00C94CE7"/>
    <w:rsid w:val="00C95BE4"/>
    <w:rsid w:val="00CA1F8E"/>
    <w:rsid w:val="00CA4352"/>
    <w:rsid w:val="00CB30F6"/>
    <w:rsid w:val="00CC06CF"/>
    <w:rsid w:val="00CC1C83"/>
    <w:rsid w:val="00CC760E"/>
    <w:rsid w:val="00CD0E9A"/>
    <w:rsid w:val="00CE6513"/>
    <w:rsid w:val="00CE6772"/>
    <w:rsid w:val="00D128CE"/>
    <w:rsid w:val="00D238F9"/>
    <w:rsid w:val="00D31D1A"/>
    <w:rsid w:val="00D32D43"/>
    <w:rsid w:val="00D34909"/>
    <w:rsid w:val="00D43E70"/>
    <w:rsid w:val="00D46F79"/>
    <w:rsid w:val="00D722C5"/>
    <w:rsid w:val="00D72DE7"/>
    <w:rsid w:val="00D77CA5"/>
    <w:rsid w:val="00D91629"/>
    <w:rsid w:val="00D922DC"/>
    <w:rsid w:val="00D94A8B"/>
    <w:rsid w:val="00DA0308"/>
    <w:rsid w:val="00DD1F7D"/>
    <w:rsid w:val="00DD7367"/>
    <w:rsid w:val="00DE2CA9"/>
    <w:rsid w:val="00E05C58"/>
    <w:rsid w:val="00E17E8B"/>
    <w:rsid w:val="00E26750"/>
    <w:rsid w:val="00E3347E"/>
    <w:rsid w:val="00E40F8D"/>
    <w:rsid w:val="00E41F74"/>
    <w:rsid w:val="00E47C60"/>
    <w:rsid w:val="00E501B6"/>
    <w:rsid w:val="00E55367"/>
    <w:rsid w:val="00E660B4"/>
    <w:rsid w:val="00E74C51"/>
    <w:rsid w:val="00E77101"/>
    <w:rsid w:val="00E77360"/>
    <w:rsid w:val="00E83B47"/>
    <w:rsid w:val="00EA1690"/>
    <w:rsid w:val="00EC06A6"/>
    <w:rsid w:val="00EC222F"/>
    <w:rsid w:val="00ED036C"/>
    <w:rsid w:val="00ED682E"/>
    <w:rsid w:val="00F03CF5"/>
    <w:rsid w:val="00F04E61"/>
    <w:rsid w:val="00F10D84"/>
    <w:rsid w:val="00F12AC7"/>
    <w:rsid w:val="00F14BE1"/>
    <w:rsid w:val="00F20867"/>
    <w:rsid w:val="00F23C86"/>
    <w:rsid w:val="00F25634"/>
    <w:rsid w:val="00F262DB"/>
    <w:rsid w:val="00F344E3"/>
    <w:rsid w:val="00F36A04"/>
    <w:rsid w:val="00F53EF6"/>
    <w:rsid w:val="00F56BD6"/>
    <w:rsid w:val="00F63956"/>
    <w:rsid w:val="00F64D13"/>
    <w:rsid w:val="00F71929"/>
    <w:rsid w:val="00F75D1E"/>
    <w:rsid w:val="00FB2009"/>
    <w:rsid w:val="00FB6143"/>
    <w:rsid w:val="00FC341E"/>
    <w:rsid w:val="00FD5719"/>
    <w:rsid w:val="00FD65DF"/>
    <w:rsid w:val="00FE288C"/>
    <w:rsid w:val="00FE472A"/>
    <w:rsid w:val="00FE75AF"/>
    <w:rsid w:val="0348562E"/>
    <w:rsid w:val="0780D047"/>
    <w:rsid w:val="0B4659FB"/>
    <w:rsid w:val="0C50A39B"/>
    <w:rsid w:val="0D1197C5"/>
    <w:rsid w:val="1762FAD3"/>
    <w:rsid w:val="1D746E9A"/>
    <w:rsid w:val="273FE8C7"/>
    <w:rsid w:val="293D3C10"/>
    <w:rsid w:val="2BBEA202"/>
    <w:rsid w:val="2CC8BA90"/>
    <w:rsid w:val="2D1268D3"/>
    <w:rsid w:val="32A9BD6F"/>
    <w:rsid w:val="346C83A5"/>
    <w:rsid w:val="34AA874A"/>
    <w:rsid w:val="38884A6C"/>
    <w:rsid w:val="3966C38B"/>
    <w:rsid w:val="3AF71DC1"/>
    <w:rsid w:val="3C92EE22"/>
    <w:rsid w:val="410BC179"/>
    <w:rsid w:val="42A883A7"/>
    <w:rsid w:val="47908FD5"/>
    <w:rsid w:val="4A366FAB"/>
    <w:rsid w:val="4D408F69"/>
    <w:rsid w:val="55165E9A"/>
    <w:rsid w:val="57DC034E"/>
    <w:rsid w:val="596CCE3D"/>
    <w:rsid w:val="5C3B69CA"/>
    <w:rsid w:val="5EBAF568"/>
    <w:rsid w:val="60E52CFF"/>
    <w:rsid w:val="72722A62"/>
    <w:rsid w:val="77334BFE"/>
    <w:rsid w:val="7D0F9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3A299C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B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C35EBC"/>
  </w:style>
  <w:style w:type="character" w:styleId="IntenseEmphasis">
    <w:name w:val="Intense Emphasis"/>
    <w:uiPriority w:val="21"/>
    <w:qFormat/>
    <w:rsid w:val="00C35EBC"/>
    <w:rPr>
      <w:b/>
      <w:i/>
    </w:rPr>
  </w:style>
  <w:style w:type="character" w:styleId="Hyperlink">
    <w:name w:val="Hyperlink"/>
    <w:basedOn w:val="DefaultParagraphFont"/>
    <w:uiPriority w:val="99"/>
    <w:unhideWhenUsed/>
    <w:rsid w:val="000E38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63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C7FFD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0C7FFD"/>
  </w:style>
  <w:style w:type="character" w:customStyle="1" w:styleId="eop">
    <w:name w:val="eop"/>
    <w:basedOn w:val="DefaultParagraphFont"/>
    <w:rsid w:val="000C7FFD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B105-3CE9-4220-B30A-6F3149B3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2019)—Tenure Stream</vt:lpstr>
    </vt:vector>
  </TitlesOfParts>
  <Company>University of Toronto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2019)—Tenure Stream</dc:title>
  <dc:subject>Salary Letter (as of July 1, 2019)—Tenure Stream</dc:subject>
  <dc:creator>VP Faculty &amp; Academic Life</dc:creator>
  <cp:keywords/>
  <cp:lastModifiedBy>Catherine Maloney</cp:lastModifiedBy>
  <cp:revision>2</cp:revision>
  <cp:lastPrinted>2022-02-10T12:46:00Z</cp:lastPrinted>
  <dcterms:created xsi:type="dcterms:W3CDTF">2022-02-23T14:38:00Z</dcterms:created>
  <dcterms:modified xsi:type="dcterms:W3CDTF">2022-02-23T14:38:00Z</dcterms:modified>
</cp:coreProperties>
</file>