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6902" w14:textId="77777777" w:rsidR="00967516" w:rsidRDefault="007548AE" w:rsidP="007370C3">
      <w:pPr>
        <w:pStyle w:val="Heading1nonumber"/>
      </w:pPr>
      <w:r>
        <w:t>S</w:t>
      </w:r>
      <w:r w:rsidR="007370C3">
        <w:t>alary</w:t>
      </w:r>
      <w:r>
        <w:t xml:space="preserve"> L</w:t>
      </w:r>
      <w:r w:rsidR="007370C3">
        <w:t>etter</w:t>
      </w:r>
      <w:r>
        <w:t xml:space="preserve"> </w:t>
      </w:r>
      <w:r w:rsidR="007370C3">
        <w:t>—</w:t>
      </w:r>
      <w:r w:rsidR="77334BFE">
        <w:t xml:space="preserve"> </w:t>
      </w:r>
      <w:r w:rsidR="008A6F07">
        <w:t>all faculty</w:t>
      </w:r>
      <w:r w:rsidR="00D43E70">
        <w:t xml:space="preserve"> – </w:t>
      </w:r>
      <w:r w:rsidR="006A7A02">
        <w:t>as of July 1, 2022 Merit (PTR and 5%)</w:t>
      </w:r>
      <w:r w:rsidR="000E387C">
        <w:t xml:space="preserve"> </w:t>
      </w:r>
    </w:p>
    <w:p w14:paraId="09055DB4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2DE86C21" w14:textId="77777777" w:rsidR="007E0F9F" w:rsidRPr="007370C3" w:rsidRDefault="00C64604" w:rsidP="007370C3">
      <w:r w:rsidRPr="007370C3">
        <w:t>[date]</w:t>
      </w:r>
    </w:p>
    <w:p w14:paraId="4888E822" w14:textId="77777777" w:rsidR="00DD1F7D" w:rsidRPr="007370C3" w:rsidRDefault="00DD1F7D" w:rsidP="007370C3"/>
    <w:p w14:paraId="473E3864" w14:textId="77777777" w:rsidR="001F28F4" w:rsidRPr="007370C3" w:rsidRDefault="001F28F4" w:rsidP="007370C3">
      <w:r w:rsidRPr="007370C3">
        <w:t>[name]</w:t>
      </w:r>
    </w:p>
    <w:p w14:paraId="39063E94" w14:textId="77777777" w:rsidR="00DD1F7D" w:rsidRPr="007370C3" w:rsidRDefault="00DD1F7D" w:rsidP="007370C3"/>
    <w:p w14:paraId="3F9B7CF9" w14:textId="77777777" w:rsidR="007E0F9F" w:rsidRDefault="007E0F9F" w:rsidP="007370C3">
      <w:proofErr w:type="gramStart"/>
      <w:r>
        <w:t>Dear</w:t>
      </w:r>
      <w:r w:rsidR="00CC760E">
        <w:t xml:space="preserve">  [</w:t>
      </w:r>
      <w:proofErr w:type="gramEnd"/>
      <w:r w:rsidR="00CC760E">
        <w:t xml:space="preserve">   ]</w:t>
      </w:r>
      <w:r w:rsidR="00174654">
        <w:t>:</w:t>
      </w:r>
    </w:p>
    <w:p w14:paraId="4B1621B1" w14:textId="77777777" w:rsidR="00174336" w:rsidRDefault="00174336" w:rsidP="007370C3"/>
    <w:p w14:paraId="2B1756D9" w14:textId="77777777" w:rsidR="006A7A02" w:rsidRDefault="006A7A02" w:rsidP="006A7A02">
      <w:r w:rsidRPr="00E83B47">
        <w:t>I am writing to you concerning your salary increase effective July 1, 202</w:t>
      </w:r>
      <w:r>
        <w:t xml:space="preserve">2. </w:t>
      </w:r>
      <w:r w:rsidRPr="009D3C07">
        <w:t xml:space="preserve">The University and </w:t>
      </w:r>
      <w:r>
        <w:t>the University of Toronto Faculty Association</w:t>
      </w:r>
      <w:r w:rsidRPr="009D3C07">
        <w:t xml:space="preserve"> </w:t>
      </w:r>
      <w:r>
        <w:t>(</w:t>
      </w:r>
      <w:r w:rsidRPr="009D3C07">
        <w:t>UTFA</w:t>
      </w:r>
      <w:r>
        <w:t>)</w:t>
      </w:r>
      <w:r w:rsidRPr="009D3C07">
        <w:t xml:space="preserve"> have reached an agreement on payment of July 1, 202</w:t>
      </w:r>
      <w:r>
        <w:t xml:space="preserve">2 Merit (PTR and 5%). </w:t>
      </w:r>
    </w:p>
    <w:p w14:paraId="396B8A9D" w14:textId="77777777" w:rsidR="00060421" w:rsidRDefault="00060421" w:rsidP="006A7A02"/>
    <w:p w14:paraId="6DB18352" w14:textId="4530C9B6" w:rsidR="00060421" w:rsidRPr="00060421" w:rsidRDefault="00060421" w:rsidP="00060421">
      <w:pPr>
        <w:rPr>
          <w:rFonts w:eastAsiaTheme="minorHAnsi" w:cstheme="minorBidi"/>
          <w:szCs w:val="20"/>
          <w:lang w:val="en-CA"/>
        </w:rPr>
      </w:pPr>
      <w:r w:rsidRPr="00060421">
        <w:rPr>
          <w:rFonts w:eastAsiaTheme="minorHAnsi" w:cstheme="minorBidi"/>
          <w:szCs w:val="20"/>
          <w:lang w:val="en-CA"/>
        </w:rPr>
        <w:t>The July 1, 2022 ATB increase is subject to an interest arbitration process</w:t>
      </w:r>
      <w:r w:rsidR="00935F8C">
        <w:rPr>
          <w:rFonts w:eastAsiaTheme="minorHAnsi" w:cstheme="minorBidi"/>
          <w:szCs w:val="20"/>
          <w:lang w:val="en-CA"/>
        </w:rPr>
        <w:t xml:space="preserve"> and a</w:t>
      </w:r>
      <w:r w:rsidRPr="00060421">
        <w:rPr>
          <w:rFonts w:eastAsiaTheme="minorHAnsi" w:cstheme="minorBidi"/>
          <w:szCs w:val="20"/>
          <w:lang w:val="en-CA"/>
        </w:rPr>
        <w:t xml:space="preserve"> further letter will be issued to you regarding </w:t>
      </w:r>
      <w:r w:rsidR="00935F8C">
        <w:rPr>
          <w:rFonts w:eastAsiaTheme="minorHAnsi" w:cstheme="minorBidi"/>
          <w:szCs w:val="20"/>
          <w:lang w:val="en-CA"/>
        </w:rPr>
        <w:t xml:space="preserve">July 1 2022 </w:t>
      </w:r>
      <w:r w:rsidRPr="00060421">
        <w:rPr>
          <w:rFonts w:eastAsiaTheme="minorHAnsi" w:cstheme="minorBidi"/>
          <w:szCs w:val="20"/>
          <w:lang w:val="en-CA"/>
        </w:rPr>
        <w:t>ATB</w:t>
      </w:r>
      <w:r w:rsidR="00935F8C">
        <w:rPr>
          <w:rFonts w:eastAsiaTheme="minorHAnsi" w:cstheme="minorBidi"/>
          <w:szCs w:val="20"/>
          <w:lang w:val="en-CA"/>
        </w:rPr>
        <w:t xml:space="preserve"> when</w:t>
      </w:r>
      <w:r w:rsidRPr="00060421">
        <w:rPr>
          <w:rFonts w:eastAsiaTheme="minorHAnsi" w:cstheme="minorBidi"/>
          <w:szCs w:val="20"/>
          <w:lang w:val="en-CA"/>
        </w:rPr>
        <w:t xml:space="preserve"> information is available. </w:t>
      </w:r>
    </w:p>
    <w:p w14:paraId="4E07DC45" w14:textId="77777777" w:rsidR="006A7A02" w:rsidRDefault="006A7A02" w:rsidP="006A7A02"/>
    <w:p w14:paraId="1E9A2A18" w14:textId="77777777" w:rsidR="006A7A02" w:rsidRDefault="006A7A02" w:rsidP="006A7A02">
      <w:pPr>
        <w:tabs>
          <w:tab w:val="left" w:pos="432"/>
        </w:tabs>
        <w:spacing w:after="200" w:line="290" w:lineRule="exact"/>
        <w:rPr>
          <w:rFonts w:eastAsiaTheme="minorHAnsi" w:cstheme="minorBidi"/>
          <w:szCs w:val="20"/>
          <w:lang w:val="en-CA"/>
        </w:rPr>
      </w:pPr>
      <w:r>
        <w:rPr>
          <w:rFonts w:eastAsiaTheme="minorHAnsi" w:cstheme="minorBidi"/>
          <w:szCs w:val="20"/>
          <w:lang w:val="en-CA"/>
        </w:rPr>
        <w:t>T</w:t>
      </w:r>
      <w:r w:rsidRPr="006A7A02">
        <w:rPr>
          <w:rFonts w:eastAsiaTheme="minorHAnsi" w:cstheme="minorBidi"/>
          <w:szCs w:val="20"/>
          <w:lang w:val="en-CA"/>
        </w:rPr>
        <w:t xml:space="preserve">he University and </w:t>
      </w:r>
      <w:r>
        <w:rPr>
          <w:rFonts w:eastAsiaTheme="minorHAnsi" w:cstheme="minorBidi"/>
          <w:szCs w:val="20"/>
          <w:lang w:val="en-CA"/>
        </w:rPr>
        <w:t xml:space="preserve">the </w:t>
      </w:r>
      <w:r w:rsidRPr="00FF2164">
        <w:t>University of Toronto Faculty Association</w:t>
      </w:r>
      <w:r w:rsidRPr="006A7A02">
        <w:rPr>
          <w:rFonts w:eastAsiaTheme="minorHAnsi" w:cstheme="minorBidi"/>
          <w:szCs w:val="20"/>
          <w:lang w:val="en-CA"/>
        </w:rPr>
        <w:t xml:space="preserve"> </w:t>
      </w:r>
      <w:r>
        <w:rPr>
          <w:rFonts w:eastAsiaTheme="minorHAnsi" w:cstheme="minorBidi"/>
          <w:szCs w:val="20"/>
          <w:lang w:val="en-CA"/>
        </w:rPr>
        <w:t>(</w:t>
      </w:r>
      <w:r w:rsidRPr="006A7A02">
        <w:rPr>
          <w:rFonts w:eastAsiaTheme="minorHAnsi" w:cstheme="minorBidi"/>
          <w:szCs w:val="20"/>
          <w:lang w:val="en-CA"/>
        </w:rPr>
        <w:t>UTFA</w:t>
      </w:r>
      <w:r>
        <w:rPr>
          <w:rFonts w:eastAsiaTheme="minorHAnsi" w:cstheme="minorBidi"/>
          <w:szCs w:val="20"/>
          <w:lang w:val="en-CA"/>
        </w:rPr>
        <w:t>)</w:t>
      </w:r>
      <w:r w:rsidRPr="006A7A02">
        <w:rPr>
          <w:rFonts w:eastAsiaTheme="minorHAnsi" w:cstheme="minorBidi"/>
          <w:szCs w:val="20"/>
          <w:lang w:val="en-CA"/>
        </w:rPr>
        <w:t xml:space="preserve"> have reached an agreement to extend certain provisions of the COVID–19-specific Letter of Understanding (the “COVID LOU”)</w:t>
      </w:r>
      <w:r>
        <w:rPr>
          <w:rFonts w:eastAsiaTheme="minorHAnsi" w:cstheme="minorBidi"/>
          <w:szCs w:val="20"/>
          <w:lang w:val="en-CA"/>
        </w:rPr>
        <w:t xml:space="preserve"> first agreed to </w:t>
      </w:r>
      <w:r w:rsidR="00060421">
        <w:rPr>
          <w:rFonts w:eastAsiaTheme="minorHAnsi" w:cstheme="minorBidi"/>
          <w:szCs w:val="20"/>
          <w:lang w:val="en-CA"/>
        </w:rPr>
        <w:t>August 13, 2021</w:t>
      </w:r>
      <w:r>
        <w:rPr>
          <w:rFonts w:eastAsiaTheme="minorHAnsi" w:cstheme="minorBidi"/>
          <w:szCs w:val="20"/>
          <w:lang w:val="en-CA"/>
        </w:rPr>
        <w:t>. As part of that agreement and i</w:t>
      </w:r>
      <w:r w:rsidRPr="006A7A02">
        <w:rPr>
          <w:rFonts w:eastAsiaTheme="minorHAnsi" w:cstheme="minorBidi"/>
          <w:szCs w:val="20"/>
          <w:lang w:val="en-CA"/>
        </w:rPr>
        <w:t xml:space="preserve">n order to mitigate the significant impacts of the COVID-19 pandemic that faculty and librarians may have experienced during the 2021-22 academic year, the University and UTFA </w:t>
      </w:r>
      <w:proofErr w:type="gramStart"/>
      <w:r w:rsidRPr="006A7A02">
        <w:rPr>
          <w:rFonts w:eastAsiaTheme="minorHAnsi" w:cstheme="minorBidi"/>
          <w:szCs w:val="20"/>
          <w:lang w:val="en-CA"/>
        </w:rPr>
        <w:t>have agreed,</w:t>
      </w:r>
      <w:proofErr w:type="gramEnd"/>
      <w:r w:rsidRPr="006A7A02">
        <w:rPr>
          <w:rFonts w:eastAsiaTheme="minorHAnsi" w:cstheme="minorBidi"/>
          <w:szCs w:val="20"/>
          <w:lang w:val="en-CA"/>
        </w:rPr>
        <w:t xml:space="preserve"> on an exceptional basis to extend the following provisions for this year:</w:t>
      </w:r>
    </w:p>
    <w:p w14:paraId="1B4DAB32" w14:textId="77777777" w:rsidR="006A7A02" w:rsidRDefault="006A7A02" w:rsidP="006A7A02">
      <w:pPr>
        <w:pStyle w:val="NumberedList1"/>
        <w:tabs>
          <w:tab w:val="clear" w:pos="432"/>
        </w:tabs>
        <w:autoSpaceDE w:val="0"/>
        <w:autoSpaceDN w:val="0"/>
        <w:adjustRightInd w:val="0"/>
        <w:spacing w:line="240" w:lineRule="auto"/>
      </w:pPr>
      <w:r>
        <w:t>E</w:t>
      </w:r>
      <w:r w:rsidRPr="00380A92">
        <w:t>ach faculty member and librarian’s PTR payment for the 2021-22</w:t>
      </w:r>
      <w:r>
        <w:t xml:space="preserve"> </w:t>
      </w:r>
      <w:r w:rsidRPr="00380A92">
        <w:t>assessment period will be calculated using the higher of the following scores:</w:t>
      </w:r>
    </w:p>
    <w:p w14:paraId="0DAD53CA" w14:textId="77777777" w:rsidR="006A7A02" w:rsidRDefault="006A7A02" w:rsidP="00060421">
      <w:pPr>
        <w:pStyle w:val="NumberedList2"/>
        <w:numPr>
          <w:ilvl w:val="0"/>
          <w:numId w:val="22"/>
        </w:numPr>
      </w:pPr>
      <w:r>
        <w:t>PTR score equivalent to the average of their PTR scores for 1) the 2018-19 assessment period; 2) the 2019-20 assessment period; and 3) and the score used for the calculation of their PTR payment for the 2020-21 assessment period; or</w:t>
      </w:r>
    </w:p>
    <w:p w14:paraId="4D742FD1" w14:textId="77777777" w:rsidR="006A7A02" w:rsidRDefault="006A7A02" w:rsidP="00060421">
      <w:pPr>
        <w:pStyle w:val="NumberedList2"/>
        <w:numPr>
          <w:ilvl w:val="0"/>
          <w:numId w:val="22"/>
        </w:numPr>
      </w:pPr>
      <w:r>
        <w:t>PTR score that resulted from the normal process of assessment based on their submitted activity report for the 2021-22 assessment period, in accordance with their unit’s normal PTR process.</w:t>
      </w:r>
    </w:p>
    <w:p w14:paraId="7D5B510B" w14:textId="77777777" w:rsidR="006A7A02" w:rsidRDefault="006A7A02" w:rsidP="00060421">
      <w:pPr>
        <w:pStyle w:val="NumberedList2"/>
      </w:pPr>
    </w:p>
    <w:p w14:paraId="33411752" w14:textId="77777777" w:rsidR="006A7A02" w:rsidRDefault="006A7A02" w:rsidP="006A7A02">
      <w:pPr>
        <w:pStyle w:val="NumberedList1"/>
        <w:tabs>
          <w:tab w:val="clear" w:pos="432"/>
        </w:tabs>
        <w:autoSpaceDE w:val="0"/>
        <w:autoSpaceDN w:val="0"/>
        <w:adjustRightInd w:val="0"/>
        <w:spacing w:line="240" w:lineRule="auto"/>
      </w:pPr>
      <w:r>
        <w:t>Faculty and librarians who did not receive PTR scores for each of the 2018-19, 2019-20, and 2020-21 assessment periods will have their PTR score for the 2021-22 assessment period calculated as follows for the purposes of a PTR score under paragraph (a) above:</w:t>
      </w:r>
    </w:p>
    <w:p w14:paraId="6328763C" w14:textId="77777777" w:rsidR="006A7A02" w:rsidRDefault="006A7A02" w:rsidP="00060421">
      <w:pPr>
        <w:pStyle w:val="NumberedList2"/>
        <w:numPr>
          <w:ilvl w:val="0"/>
          <w:numId w:val="23"/>
        </w:numPr>
      </w:pPr>
      <w:r>
        <w:t>Only scores for the 2019-20 and 2020-21 assessment periods: the average of those two scores;</w:t>
      </w:r>
    </w:p>
    <w:p w14:paraId="224CC6A6" w14:textId="77777777" w:rsidR="006A7A02" w:rsidRDefault="006A7A02" w:rsidP="00060421">
      <w:pPr>
        <w:pStyle w:val="NumberedList2"/>
        <w:numPr>
          <w:ilvl w:val="0"/>
          <w:numId w:val="23"/>
        </w:numPr>
      </w:pPr>
      <w:r>
        <w:t>Only a score for the 2020-21 assessment period: the same PTR score as for 2020-21;</w:t>
      </w:r>
    </w:p>
    <w:p w14:paraId="766D8287" w14:textId="77777777" w:rsidR="006A7A02" w:rsidRDefault="006A7A02" w:rsidP="00060421">
      <w:pPr>
        <w:pStyle w:val="NumberedList2"/>
        <w:numPr>
          <w:ilvl w:val="0"/>
          <w:numId w:val="23"/>
        </w:numPr>
      </w:pPr>
      <w:r>
        <w:t>No PTR score for the assessment periods 2018-19, 2019-20 and 2020-21: the average score in their pool as determined in accordance with their unit’s normal PTR process described in 1(d) above for the 2021-22 assessment period.</w:t>
      </w:r>
    </w:p>
    <w:p w14:paraId="62356608" w14:textId="77777777" w:rsidR="006A7A02" w:rsidRDefault="006A7A02" w:rsidP="00060421">
      <w:pPr>
        <w:pStyle w:val="NumberedList2"/>
      </w:pPr>
    </w:p>
    <w:p w14:paraId="35983DD0" w14:textId="77777777" w:rsidR="006A7A02" w:rsidRDefault="006A7A02" w:rsidP="006A7A02">
      <w:pPr>
        <w:tabs>
          <w:tab w:val="left" w:pos="432"/>
        </w:tabs>
        <w:spacing w:after="200" w:line="290" w:lineRule="exact"/>
        <w:rPr>
          <w:rFonts w:eastAsiaTheme="minorHAnsi" w:cstheme="minorBidi"/>
          <w:szCs w:val="20"/>
          <w:lang w:val="en-CA"/>
        </w:rPr>
      </w:pPr>
    </w:p>
    <w:p w14:paraId="2C882689" w14:textId="77777777" w:rsidR="006A7A02" w:rsidRDefault="006A7A02" w:rsidP="006A7A02">
      <w:pPr>
        <w:tabs>
          <w:tab w:val="left" w:pos="432"/>
        </w:tabs>
        <w:spacing w:after="200" w:line="290" w:lineRule="exact"/>
        <w:rPr>
          <w:rFonts w:eastAsiaTheme="minorHAnsi" w:cstheme="minorBidi"/>
          <w:szCs w:val="20"/>
          <w:lang w:val="en-CA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32"/>
        <w:gridCol w:w="1134"/>
        <w:gridCol w:w="2619"/>
      </w:tblGrid>
      <w:tr w:rsidR="006A7A02" w:rsidRPr="00E660B4" w14:paraId="36954C0B" w14:textId="77777777" w:rsidTr="00060421">
        <w:tc>
          <w:tcPr>
            <w:tcW w:w="6232" w:type="dxa"/>
            <w:vAlign w:val="center"/>
          </w:tcPr>
          <w:p w14:paraId="7E3B24AA" w14:textId="77777777" w:rsidR="006A7A02" w:rsidRPr="00E660B4" w:rsidRDefault="006A7A02" w:rsidP="00491422">
            <w:pPr>
              <w:rPr>
                <w:b/>
                <w:bCs/>
              </w:rPr>
            </w:pPr>
            <w:r w:rsidRPr="32A9BD6F">
              <w:rPr>
                <w:b/>
                <w:bCs/>
              </w:rPr>
              <w:t>Option</w:t>
            </w:r>
          </w:p>
        </w:tc>
        <w:tc>
          <w:tcPr>
            <w:tcW w:w="1134" w:type="dxa"/>
            <w:vAlign w:val="center"/>
          </w:tcPr>
          <w:p w14:paraId="3DFA983A" w14:textId="77777777" w:rsidR="006A7A02" w:rsidRPr="00E660B4" w:rsidRDefault="006A7A02" w:rsidP="00491422">
            <w:pPr>
              <w:rPr>
                <w:b/>
                <w:bCs/>
              </w:rPr>
            </w:pPr>
            <w:r w:rsidRPr="32A9BD6F">
              <w:rPr>
                <w:b/>
                <w:bCs/>
              </w:rPr>
              <w:t>Score</w:t>
            </w:r>
          </w:p>
        </w:tc>
        <w:tc>
          <w:tcPr>
            <w:tcW w:w="2619" w:type="dxa"/>
            <w:vAlign w:val="center"/>
          </w:tcPr>
          <w:p w14:paraId="51AEB652" w14:textId="77777777" w:rsidR="006A7A02" w:rsidRPr="00E660B4" w:rsidRDefault="006A7A02" w:rsidP="00491422">
            <w:pPr>
              <w:rPr>
                <w:b/>
                <w:bCs/>
              </w:rPr>
            </w:pPr>
            <w:r w:rsidRPr="32A9BD6F">
              <w:rPr>
                <w:b/>
                <w:bCs/>
              </w:rPr>
              <w:t>Highest Score, used for calculation of PTR dollar amount (indicate with x)</w:t>
            </w:r>
          </w:p>
        </w:tc>
      </w:tr>
      <w:tr w:rsidR="006A7A02" w14:paraId="738B9A6D" w14:textId="77777777" w:rsidTr="00060421">
        <w:tc>
          <w:tcPr>
            <w:tcW w:w="6232" w:type="dxa"/>
          </w:tcPr>
          <w:p w14:paraId="18931D30" w14:textId="77777777" w:rsidR="006A7A02" w:rsidRDefault="006A7A02" w:rsidP="006A7A02">
            <w:pPr>
              <w:rPr>
                <w:rStyle w:val="normaltextrun"/>
                <w:rFonts w:cs="Calibri"/>
              </w:rPr>
            </w:pPr>
            <w:r>
              <w:rPr>
                <w:rStyle w:val="normaltextrun"/>
                <w:rFonts w:cs="Calibri"/>
              </w:rPr>
              <w:t>1.</w:t>
            </w:r>
            <w:r w:rsidRPr="32A9BD6F">
              <w:rPr>
                <w:rStyle w:val="normaltextrun"/>
                <w:rFonts w:cs="Calibri"/>
              </w:rPr>
              <w:t> </w:t>
            </w:r>
            <w:r w:rsidRPr="006A7A02">
              <w:rPr>
                <w:rStyle w:val="normaltextrun"/>
                <w:rFonts w:cs="Calibri"/>
              </w:rPr>
              <w:t>a.</w:t>
            </w:r>
            <w:r w:rsidRPr="006A7A02">
              <w:rPr>
                <w:rStyle w:val="normaltextrun"/>
                <w:rFonts w:cs="Calibri"/>
              </w:rPr>
              <w:tab/>
              <w:t>PTR score equivalent to the average of their PTR scores for 1) the 2018-19 assessment period; 2) the 2019-20 assessment period; and 3) and the score used for the calculation of their PTR payment for the 2020-21 assessment period; or</w:t>
            </w:r>
            <w:r>
              <w:rPr>
                <w:rStyle w:val="normaltextrun"/>
                <w:rFonts w:cs="Calibri"/>
              </w:rPr>
              <w:t xml:space="preserve"> 2.a, b, or c</w:t>
            </w:r>
          </w:p>
        </w:tc>
        <w:tc>
          <w:tcPr>
            <w:tcW w:w="1134" w:type="dxa"/>
          </w:tcPr>
          <w:p w14:paraId="5ED37016" w14:textId="77777777" w:rsidR="006A7A02" w:rsidRDefault="006A7A02" w:rsidP="00491422"/>
        </w:tc>
        <w:tc>
          <w:tcPr>
            <w:tcW w:w="2619" w:type="dxa"/>
          </w:tcPr>
          <w:p w14:paraId="707FD7ED" w14:textId="77777777" w:rsidR="006A7A02" w:rsidRDefault="006A7A02" w:rsidP="00491422"/>
        </w:tc>
      </w:tr>
      <w:tr w:rsidR="006A7A02" w14:paraId="608DBD0D" w14:textId="77777777" w:rsidTr="00060421">
        <w:tc>
          <w:tcPr>
            <w:tcW w:w="6232" w:type="dxa"/>
          </w:tcPr>
          <w:p w14:paraId="4DB04733" w14:textId="77777777" w:rsidR="00060421" w:rsidRDefault="00060421" w:rsidP="00060421">
            <w:pPr>
              <w:pStyle w:val="NumberedList2"/>
            </w:pPr>
            <w:r>
              <w:t>1.b.     PTR score that resulted from the normal process of assessment based on their submitted activity report for the 2021-22 assessment period, in accordance with their unit’s normal PTR process.</w:t>
            </w:r>
          </w:p>
          <w:p w14:paraId="7EA85640" w14:textId="77777777" w:rsidR="006A7A02" w:rsidRPr="006A7A02" w:rsidRDefault="006A7A02" w:rsidP="006A7A02">
            <w:pPr>
              <w:rPr>
                <w:rStyle w:val="eop"/>
                <w:rFonts w:cs="Calibri"/>
              </w:rPr>
            </w:pPr>
          </w:p>
        </w:tc>
        <w:tc>
          <w:tcPr>
            <w:tcW w:w="1134" w:type="dxa"/>
          </w:tcPr>
          <w:p w14:paraId="1B01D694" w14:textId="77777777" w:rsidR="006A7A02" w:rsidRDefault="006A7A02" w:rsidP="00491422"/>
        </w:tc>
        <w:tc>
          <w:tcPr>
            <w:tcW w:w="2619" w:type="dxa"/>
          </w:tcPr>
          <w:p w14:paraId="3091B306" w14:textId="77777777" w:rsidR="006A7A02" w:rsidRDefault="006A7A02" w:rsidP="00491422"/>
        </w:tc>
      </w:tr>
    </w:tbl>
    <w:p w14:paraId="389A8DB0" w14:textId="77777777" w:rsidR="009B254E" w:rsidRDefault="009B254E" w:rsidP="32A9BD6F"/>
    <w:p w14:paraId="1C3A7D58" w14:textId="77777777" w:rsidR="006A7A02" w:rsidRDefault="006A7A02" w:rsidP="006A7A02">
      <w:r>
        <w:t xml:space="preserve">The following sets out your total salary increases and your new base salary effective July 1, 2022.  This will be reflected in the July 2022 pay run. </w:t>
      </w:r>
    </w:p>
    <w:p w14:paraId="0AE75BBC" w14:textId="77777777" w:rsidR="006A7A02" w:rsidRPr="00876C02" w:rsidRDefault="006A7A02" w:rsidP="006A7A02"/>
    <w:tbl>
      <w:tblPr>
        <w:tblW w:w="100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780"/>
      </w:tblGrid>
      <w:tr w:rsidR="006A7A02" w:rsidRPr="00876C02" w14:paraId="3B30B331" w14:textId="77777777" w:rsidTr="00491422">
        <w:tc>
          <w:tcPr>
            <w:tcW w:w="6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B6E8B4" w14:textId="77777777" w:rsidR="006A7A02" w:rsidRPr="00C35EBC" w:rsidRDefault="006A7A02" w:rsidP="006A7A02">
            <w:pPr>
              <w:pStyle w:val="TableText"/>
            </w:pPr>
            <w:r w:rsidRPr="00C35EBC">
              <w:t>June 30, 20</w:t>
            </w:r>
            <w:r>
              <w:t>22</w:t>
            </w:r>
            <w:r w:rsidRPr="00C35EBC">
              <w:t xml:space="preserve"> base salary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0A1E14" w14:textId="77777777" w:rsidR="006A7A02" w:rsidRPr="00C35EBC" w:rsidRDefault="006A7A02" w:rsidP="00491422">
            <w:pPr>
              <w:pStyle w:val="TableText"/>
            </w:pPr>
            <w:r w:rsidRPr="00C35EBC">
              <w:t>$</w:t>
            </w:r>
          </w:p>
        </w:tc>
      </w:tr>
      <w:tr w:rsidR="006A7A02" w:rsidRPr="00876C02" w14:paraId="6AFE6D11" w14:textId="77777777" w:rsidTr="00491422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57350B" w14:textId="77777777" w:rsidR="006A7A02" w:rsidRDefault="006A7A02" w:rsidP="00491422">
            <w:pPr>
              <w:pStyle w:val="TableText"/>
            </w:pPr>
            <w:r>
              <w:t>July 1, 2022 PTR merit award</w:t>
            </w:r>
          </w:p>
          <w:p w14:paraId="6A9AC375" w14:textId="77777777" w:rsidR="006A7A02" w:rsidRDefault="006A7A02" w:rsidP="00491422">
            <w:pPr>
              <w:pStyle w:val="TableText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493EE3" w14:textId="77777777" w:rsidR="006A7A02" w:rsidRPr="00C35EBC" w:rsidRDefault="006A7A02" w:rsidP="00491422">
            <w:pPr>
              <w:pStyle w:val="TableText"/>
            </w:pPr>
            <w:r>
              <w:t>$</w:t>
            </w:r>
          </w:p>
        </w:tc>
      </w:tr>
      <w:tr w:rsidR="006A7A02" w:rsidRPr="00876C02" w14:paraId="01AFA8B9" w14:textId="77777777" w:rsidTr="00491422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AB26E1" w14:textId="77777777" w:rsidR="006A7A02" w:rsidRDefault="006A7A02" w:rsidP="006A7A02">
            <w:pPr>
              <w:pStyle w:val="TableText"/>
            </w:pPr>
            <w:r>
              <w:t xml:space="preserve">July 1, 2022 5% Merit award - Excellence/Small Group Award, </w:t>
            </w:r>
            <w:r w:rsidRPr="007F1F0B">
              <w:rPr>
                <w:b/>
                <w:i/>
              </w:rPr>
              <w:t>[delete this row if not applicable]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F4965" w14:textId="77777777" w:rsidR="006A7A02" w:rsidRPr="00C35EBC" w:rsidRDefault="006A7A02" w:rsidP="00491422">
            <w:pPr>
              <w:pStyle w:val="TableText"/>
            </w:pPr>
            <w:r>
              <w:t>$</w:t>
            </w:r>
          </w:p>
        </w:tc>
      </w:tr>
      <w:tr w:rsidR="006A7A02" w:rsidRPr="00876C02" w14:paraId="5BCCF44E" w14:textId="77777777" w:rsidTr="00491422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E86C71" w14:textId="77777777" w:rsidR="006A7A02" w:rsidRPr="00C35EBC" w:rsidRDefault="006A7A02" w:rsidP="006A7A02">
            <w:pPr>
              <w:pStyle w:val="TableText"/>
            </w:pPr>
            <w:r w:rsidRPr="00C35EBC">
              <w:t>July 1, 20</w:t>
            </w:r>
            <w:r>
              <w:t>22</w:t>
            </w:r>
            <w:r w:rsidRPr="00C35EBC">
              <w:t xml:space="preserve"> base salary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94FD79" w14:textId="77777777" w:rsidR="006A7A02" w:rsidRPr="00C35EBC" w:rsidRDefault="006A7A02" w:rsidP="00491422">
            <w:pPr>
              <w:pStyle w:val="TableText"/>
            </w:pPr>
            <w:r w:rsidRPr="00C35EBC">
              <w:t>$</w:t>
            </w:r>
          </w:p>
        </w:tc>
      </w:tr>
    </w:tbl>
    <w:p w14:paraId="60C53D02" w14:textId="77777777" w:rsidR="004C747A" w:rsidRDefault="004C747A" w:rsidP="007370C3"/>
    <w:sectPr w:rsidR="004C747A" w:rsidSect="008258ED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A967" w14:textId="77777777" w:rsidR="00DD0FC5" w:rsidRDefault="00DD0FC5" w:rsidP="007370C3">
      <w:r>
        <w:separator/>
      </w:r>
    </w:p>
  </w:endnote>
  <w:endnote w:type="continuationSeparator" w:id="0">
    <w:p w14:paraId="7670017C" w14:textId="77777777" w:rsidR="00DD0FC5" w:rsidRDefault="00DD0FC5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6375" w14:textId="280A22B0" w:rsidR="002619B4" w:rsidRDefault="0026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0510" w14:textId="77777777" w:rsidR="00DD0FC5" w:rsidRDefault="00DD0FC5" w:rsidP="007370C3">
      <w:r>
        <w:separator/>
      </w:r>
    </w:p>
  </w:footnote>
  <w:footnote w:type="continuationSeparator" w:id="0">
    <w:p w14:paraId="4212BAF7" w14:textId="77777777" w:rsidR="00DD0FC5" w:rsidRDefault="00DD0FC5" w:rsidP="007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BA0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E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2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48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C7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62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04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4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E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5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E5B53"/>
    <w:multiLevelType w:val="hybridMultilevel"/>
    <w:tmpl w:val="58566E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3097C"/>
    <w:multiLevelType w:val="hybridMultilevel"/>
    <w:tmpl w:val="61C896A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D501D"/>
    <w:multiLevelType w:val="hybridMultilevel"/>
    <w:tmpl w:val="58786C8A"/>
    <w:lvl w:ilvl="0" w:tplc="8160DA9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581"/>
    <w:multiLevelType w:val="hybridMultilevel"/>
    <w:tmpl w:val="DBC83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2ACE"/>
    <w:multiLevelType w:val="hybridMultilevel"/>
    <w:tmpl w:val="8D545E7A"/>
    <w:lvl w:ilvl="0" w:tplc="8464833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D77A1"/>
    <w:multiLevelType w:val="hybridMultilevel"/>
    <w:tmpl w:val="93280EE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4252AA"/>
    <w:multiLevelType w:val="hybridMultilevel"/>
    <w:tmpl w:val="452AD824"/>
    <w:lvl w:ilvl="0" w:tplc="DAE8A4A6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4863D92"/>
    <w:multiLevelType w:val="hybridMultilevel"/>
    <w:tmpl w:val="A8EA99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13"/>
  </w:num>
  <w:num w:numId="17">
    <w:abstractNumId w:val="18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2"/>
  </w:num>
  <w:num w:numId="21">
    <w:abstractNumId w:val="18"/>
    <w:lvlOverride w:ilvl="0">
      <w:startOverride w:val="1"/>
    </w:lvlOverride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FA"/>
    <w:rsid w:val="000013E9"/>
    <w:rsid w:val="00001415"/>
    <w:rsid w:val="00002D51"/>
    <w:rsid w:val="00013113"/>
    <w:rsid w:val="000134F4"/>
    <w:rsid w:val="000321B8"/>
    <w:rsid w:val="00035B89"/>
    <w:rsid w:val="000439E9"/>
    <w:rsid w:val="000523AC"/>
    <w:rsid w:val="00057CB9"/>
    <w:rsid w:val="00060421"/>
    <w:rsid w:val="00065E65"/>
    <w:rsid w:val="00067F26"/>
    <w:rsid w:val="0007376F"/>
    <w:rsid w:val="00092F24"/>
    <w:rsid w:val="000A4972"/>
    <w:rsid w:val="000B2C8A"/>
    <w:rsid w:val="000C2233"/>
    <w:rsid w:val="000C349D"/>
    <w:rsid w:val="000C3F97"/>
    <w:rsid w:val="000C71A6"/>
    <w:rsid w:val="000C7FFD"/>
    <w:rsid w:val="000D2504"/>
    <w:rsid w:val="000E387C"/>
    <w:rsid w:val="000F671F"/>
    <w:rsid w:val="001071ED"/>
    <w:rsid w:val="00107BC8"/>
    <w:rsid w:val="00125B82"/>
    <w:rsid w:val="0012733D"/>
    <w:rsid w:val="00134526"/>
    <w:rsid w:val="00135192"/>
    <w:rsid w:val="00135447"/>
    <w:rsid w:val="00135E40"/>
    <w:rsid w:val="00141DF8"/>
    <w:rsid w:val="001439FC"/>
    <w:rsid w:val="0014756A"/>
    <w:rsid w:val="001560C1"/>
    <w:rsid w:val="001731D1"/>
    <w:rsid w:val="00174336"/>
    <w:rsid w:val="00174654"/>
    <w:rsid w:val="00176B5F"/>
    <w:rsid w:val="00195CAE"/>
    <w:rsid w:val="00196540"/>
    <w:rsid w:val="001B4841"/>
    <w:rsid w:val="001C77E1"/>
    <w:rsid w:val="001D0740"/>
    <w:rsid w:val="001D12AC"/>
    <w:rsid w:val="001D2603"/>
    <w:rsid w:val="001D7512"/>
    <w:rsid w:val="001E1481"/>
    <w:rsid w:val="001E37B5"/>
    <w:rsid w:val="001E4A18"/>
    <w:rsid w:val="001F28F4"/>
    <w:rsid w:val="001F44D5"/>
    <w:rsid w:val="00201F6C"/>
    <w:rsid w:val="00206D51"/>
    <w:rsid w:val="00206E5B"/>
    <w:rsid w:val="00230331"/>
    <w:rsid w:val="002418F7"/>
    <w:rsid w:val="0024205B"/>
    <w:rsid w:val="0024266F"/>
    <w:rsid w:val="00247436"/>
    <w:rsid w:val="002534A8"/>
    <w:rsid w:val="00254F29"/>
    <w:rsid w:val="0025513E"/>
    <w:rsid w:val="002573D4"/>
    <w:rsid w:val="002603DF"/>
    <w:rsid w:val="002619B4"/>
    <w:rsid w:val="00296A42"/>
    <w:rsid w:val="002C7CF3"/>
    <w:rsid w:val="002D2E60"/>
    <w:rsid w:val="002E18DF"/>
    <w:rsid w:val="002E18E1"/>
    <w:rsid w:val="002E4F44"/>
    <w:rsid w:val="003017BF"/>
    <w:rsid w:val="00310F47"/>
    <w:rsid w:val="0034262B"/>
    <w:rsid w:val="00351353"/>
    <w:rsid w:val="00370E5F"/>
    <w:rsid w:val="003739AD"/>
    <w:rsid w:val="00374915"/>
    <w:rsid w:val="00376B9E"/>
    <w:rsid w:val="003820E0"/>
    <w:rsid w:val="00397BBA"/>
    <w:rsid w:val="003A69E7"/>
    <w:rsid w:val="003C6EF8"/>
    <w:rsid w:val="003E19E2"/>
    <w:rsid w:val="003E35D7"/>
    <w:rsid w:val="003E538A"/>
    <w:rsid w:val="0040144D"/>
    <w:rsid w:val="0040186A"/>
    <w:rsid w:val="00401A32"/>
    <w:rsid w:val="004034F8"/>
    <w:rsid w:val="00415DDA"/>
    <w:rsid w:val="00432774"/>
    <w:rsid w:val="004449EB"/>
    <w:rsid w:val="004522B0"/>
    <w:rsid w:val="00454FCE"/>
    <w:rsid w:val="004566FE"/>
    <w:rsid w:val="00463E8E"/>
    <w:rsid w:val="00481DFB"/>
    <w:rsid w:val="00486420"/>
    <w:rsid w:val="00487844"/>
    <w:rsid w:val="004966D7"/>
    <w:rsid w:val="004A6C5A"/>
    <w:rsid w:val="004B000F"/>
    <w:rsid w:val="004B194C"/>
    <w:rsid w:val="004B35A0"/>
    <w:rsid w:val="004C04D8"/>
    <w:rsid w:val="004C747A"/>
    <w:rsid w:val="004D0BA4"/>
    <w:rsid w:val="004D30A5"/>
    <w:rsid w:val="004E610F"/>
    <w:rsid w:val="004E7CB5"/>
    <w:rsid w:val="004F1764"/>
    <w:rsid w:val="004F58DC"/>
    <w:rsid w:val="00501016"/>
    <w:rsid w:val="00512940"/>
    <w:rsid w:val="0051661C"/>
    <w:rsid w:val="005232FB"/>
    <w:rsid w:val="00530036"/>
    <w:rsid w:val="0053145E"/>
    <w:rsid w:val="0053202E"/>
    <w:rsid w:val="00532AE6"/>
    <w:rsid w:val="00573163"/>
    <w:rsid w:val="005911E6"/>
    <w:rsid w:val="005A2896"/>
    <w:rsid w:val="005A4488"/>
    <w:rsid w:val="005B1B70"/>
    <w:rsid w:val="005B7B03"/>
    <w:rsid w:val="005C00F5"/>
    <w:rsid w:val="005C3EBB"/>
    <w:rsid w:val="005C7063"/>
    <w:rsid w:val="005D2CF3"/>
    <w:rsid w:val="005E150B"/>
    <w:rsid w:val="0060343E"/>
    <w:rsid w:val="00613EBA"/>
    <w:rsid w:val="00623A09"/>
    <w:rsid w:val="0062477C"/>
    <w:rsid w:val="00633F59"/>
    <w:rsid w:val="0063468B"/>
    <w:rsid w:val="00636617"/>
    <w:rsid w:val="00640EB3"/>
    <w:rsid w:val="006419E8"/>
    <w:rsid w:val="00647A2A"/>
    <w:rsid w:val="00651762"/>
    <w:rsid w:val="00673B57"/>
    <w:rsid w:val="00677E2D"/>
    <w:rsid w:val="006929DD"/>
    <w:rsid w:val="00693AC7"/>
    <w:rsid w:val="006A7A02"/>
    <w:rsid w:val="006C719D"/>
    <w:rsid w:val="006D5640"/>
    <w:rsid w:val="006F4F5E"/>
    <w:rsid w:val="0071507C"/>
    <w:rsid w:val="00716D57"/>
    <w:rsid w:val="00720F1A"/>
    <w:rsid w:val="0072238D"/>
    <w:rsid w:val="007327A5"/>
    <w:rsid w:val="007370C3"/>
    <w:rsid w:val="00741000"/>
    <w:rsid w:val="007442F9"/>
    <w:rsid w:val="00746E9A"/>
    <w:rsid w:val="00750065"/>
    <w:rsid w:val="0075452A"/>
    <w:rsid w:val="007548AE"/>
    <w:rsid w:val="00766D37"/>
    <w:rsid w:val="007756FD"/>
    <w:rsid w:val="0078519E"/>
    <w:rsid w:val="007A79C6"/>
    <w:rsid w:val="007B28B7"/>
    <w:rsid w:val="007C2D47"/>
    <w:rsid w:val="007E0F9F"/>
    <w:rsid w:val="007F1F0B"/>
    <w:rsid w:val="00813FB8"/>
    <w:rsid w:val="00815E42"/>
    <w:rsid w:val="008258A4"/>
    <w:rsid w:val="008258ED"/>
    <w:rsid w:val="00840CCB"/>
    <w:rsid w:val="00850384"/>
    <w:rsid w:val="00853DA9"/>
    <w:rsid w:val="0085569F"/>
    <w:rsid w:val="008578AA"/>
    <w:rsid w:val="00862C72"/>
    <w:rsid w:val="00876C02"/>
    <w:rsid w:val="00890C2D"/>
    <w:rsid w:val="008928EE"/>
    <w:rsid w:val="008A5298"/>
    <w:rsid w:val="008A5F84"/>
    <w:rsid w:val="008A6F07"/>
    <w:rsid w:val="008B6FC9"/>
    <w:rsid w:val="008D35FA"/>
    <w:rsid w:val="008D361D"/>
    <w:rsid w:val="008E725C"/>
    <w:rsid w:val="008F661B"/>
    <w:rsid w:val="009023A5"/>
    <w:rsid w:val="00905014"/>
    <w:rsid w:val="00910B41"/>
    <w:rsid w:val="00925E2E"/>
    <w:rsid w:val="00926977"/>
    <w:rsid w:val="009322B7"/>
    <w:rsid w:val="00935F8C"/>
    <w:rsid w:val="00942BE8"/>
    <w:rsid w:val="00967516"/>
    <w:rsid w:val="00973E6E"/>
    <w:rsid w:val="00974D4D"/>
    <w:rsid w:val="00985C9D"/>
    <w:rsid w:val="009920BD"/>
    <w:rsid w:val="00992EA8"/>
    <w:rsid w:val="00995C3C"/>
    <w:rsid w:val="009A0378"/>
    <w:rsid w:val="009A4E5D"/>
    <w:rsid w:val="009B0C75"/>
    <w:rsid w:val="009B254E"/>
    <w:rsid w:val="009D3C07"/>
    <w:rsid w:val="009D52FB"/>
    <w:rsid w:val="009F4C5E"/>
    <w:rsid w:val="00A2272C"/>
    <w:rsid w:val="00A23064"/>
    <w:rsid w:val="00A233D3"/>
    <w:rsid w:val="00A46DDE"/>
    <w:rsid w:val="00A5088C"/>
    <w:rsid w:val="00A57143"/>
    <w:rsid w:val="00A70316"/>
    <w:rsid w:val="00A72C2E"/>
    <w:rsid w:val="00A74815"/>
    <w:rsid w:val="00A81E8C"/>
    <w:rsid w:val="00A867AE"/>
    <w:rsid w:val="00A87B9D"/>
    <w:rsid w:val="00A90AEB"/>
    <w:rsid w:val="00A92850"/>
    <w:rsid w:val="00AA032A"/>
    <w:rsid w:val="00AA21D3"/>
    <w:rsid w:val="00AC248F"/>
    <w:rsid w:val="00AC4276"/>
    <w:rsid w:val="00AD20D3"/>
    <w:rsid w:val="00AD78C7"/>
    <w:rsid w:val="00AE6723"/>
    <w:rsid w:val="00AF3ACF"/>
    <w:rsid w:val="00AF6185"/>
    <w:rsid w:val="00AF67AF"/>
    <w:rsid w:val="00B035E1"/>
    <w:rsid w:val="00B1022A"/>
    <w:rsid w:val="00B11DCF"/>
    <w:rsid w:val="00B22092"/>
    <w:rsid w:val="00B227A1"/>
    <w:rsid w:val="00B2505A"/>
    <w:rsid w:val="00B26B73"/>
    <w:rsid w:val="00B27B0A"/>
    <w:rsid w:val="00B3570C"/>
    <w:rsid w:val="00B35CB2"/>
    <w:rsid w:val="00B379DB"/>
    <w:rsid w:val="00B61CC5"/>
    <w:rsid w:val="00B62B0E"/>
    <w:rsid w:val="00B75CAC"/>
    <w:rsid w:val="00B812DE"/>
    <w:rsid w:val="00B8775C"/>
    <w:rsid w:val="00BD2F03"/>
    <w:rsid w:val="00BD62D6"/>
    <w:rsid w:val="00BD7601"/>
    <w:rsid w:val="00C03D8B"/>
    <w:rsid w:val="00C10BEA"/>
    <w:rsid w:val="00C263EC"/>
    <w:rsid w:val="00C26D8B"/>
    <w:rsid w:val="00C35EBC"/>
    <w:rsid w:val="00C43CE8"/>
    <w:rsid w:val="00C607BA"/>
    <w:rsid w:val="00C63A17"/>
    <w:rsid w:val="00C64604"/>
    <w:rsid w:val="00C74187"/>
    <w:rsid w:val="00C80092"/>
    <w:rsid w:val="00C9398F"/>
    <w:rsid w:val="00C94CE7"/>
    <w:rsid w:val="00C95BE4"/>
    <w:rsid w:val="00CA1F8E"/>
    <w:rsid w:val="00CA4352"/>
    <w:rsid w:val="00CB30F6"/>
    <w:rsid w:val="00CC06CF"/>
    <w:rsid w:val="00CC1C83"/>
    <w:rsid w:val="00CC760E"/>
    <w:rsid w:val="00CD0E9A"/>
    <w:rsid w:val="00CE6513"/>
    <w:rsid w:val="00CE6772"/>
    <w:rsid w:val="00D128CE"/>
    <w:rsid w:val="00D238F9"/>
    <w:rsid w:val="00D31D1A"/>
    <w:rsid w:val="00D32D43"/>
    <w:rsid w:val="00D34909"/>
    <w:rsid w:val="00D43E70"/>
    <w:rsid w:val="00D46F79"/>
    <w:rsid w:val="00D722C5"/>
    <w:rsid w:val="00D72DE7"/>
    <w:rsid w:val="00D77CA5"/>
    <w:rsid w:val="00D91629"/>
    <w:rsid w:val="00D922DC"/>
    <w:rsid w:val="00D94A8B"/>
    <w:rsid w:val="00DA0308"/>
    <w:rsid w:val="00DD0FC5"/>
    <w:rsid w:val="00DD1F7D"/>
    <w:rsid w:val="00DD7367"/>
    <w:rsid w:val="00DE2CA9"/>
    <w:rsid w:val="00E05C58"/>
    <w:rsid w:val="00E174DE"/>
    <w:rsid w:val="00E17E8B"/>
    <w:rsid w:val="00E26750"/>
    <w:rsid w:val="00E3347E"/>
    <w:rsid w:val="00E40F8D"/>
    <w:rsid w:val="00E41F74"/>
    <w:rsid w:val="00E47C60"/>
    <w:rsid w:val="00E501B6"/>
    <w:rsid w:val="00E55367"/>
    <w:rsid w:val="00E660B4"/>
    <w:rsid w:val="00E74C51"/>
    <w:rsid w:val="00E77101"/>
    <w:rsid w:val="00E77360"/>
    <w:rsid w:val="00E83B47"/>
    <w:rsid w:val="00EA1690"/>
    <w:rsid w:val="00EB31C2"/>
    <w:rsid w:val="00EC06A6"/>
    <w:rsid w:val="00EC222F"/>
    <w:rsid w:val="00ED036C"/>
    <w:rsid w:val="00ED682E"/>
    <w:rsid w:val="00F03CF5"/>
    <w:rsid w:val="00F04E61"/>
    <w:rsid w:val="00F10D84"/>
    <w:rsid w:val="00F12AC7"/>
    <w:rsid w:val="00F14BE1"/>
    <w:rsid w:val="00F20867"/>
    <w:rsid w:val="00F23C86"/>
    <w:rsid w:val="00F25634"/>
    <w:rsid w:val="00F262DB"/>
    <w:rsid w:val="00F344E3"/>
    <w:rsid w:val="00F36A04"/>
    <w:rsid w:val="00F53EF6"/>
    <w:rsid w:val="00F56BD6"/>
    <w:rsid w:val="00F63956"/>
    <w:rsid w:val="00F64D13"/>
    <w:rsid w:val="00F71929"/>
    <w:rsid w:val="00F75D1E"/>
    <w:rsid w:val="00FB2009"/>
    <w:rsid w:val="00FB6143"/>
    <w:rsid w:val="00FC341E"/>
    <w:rsid w:val="00FD5719"/>
    <w:rsid w:val="00FD65DF"/>
    <w:rsid w:val="00FE288C"/>
    <w:rsid w:val="00FE472A"/>
    <w:rsid w:val="00FE75AF"/>
    <w:rsid w:val="0348562E"/>
    <w:rsid w:val="0780D047"/>
    <w:rsid w:val="0B4659FB"/>
    <w:rsid w:val="0C50A39B"/>
    <w:rsid w:val="0D1197C5"/>
    <w:rsid w:val="1762FAD3"/>
    <w:rsid w:val="1D746E9A"/>
    <w:rsid w:val="273FE8C7"/>
    <w:rsid w:val="293D3C10"/>
    <w:rsid w:val="2BBEA202"/>
    <w:rsid w:val="2CC8BA90"/>
    <w:rsid w:val="2D1268D3"/>
    <w:rsid w:val="32A9BD6F"/>
    <w:rsid w:val="346C83A5"/>
    <w:rsid w:val="34AA874A"/>
    <w:rsid w:val="38884A6C"/>
    <w:rsid w:val="3966C38B"/>
    <w:rsid w:val="3AF71DC1"/>
    <w:rsid w:val="3C92EE22"/>
    <w:rsid w:val="410BC179"/>
    <w:rsid w:val="42A883A7"/>
    <w:rsid w:val="47908FD5"/>
    <w:rsid w:val="4A366FAB"/>
    <w:rsid w:val="4D408F69"/>
    <w:rsid w:val="55165E9A"/>
    <w:rsid w:val="57DC034E"/>
    <w:rsid w:val="596CCE3D"/>
    <w:rsid w:val="5C3B69CA"/>
    <w:rsid w:val="5EBAF568"/>
    <w:rsid w:val="60E52CFF"/>
    <w:rsid w:val="72722A62"/>
    <w:rsid w:val="77334BFE"/>
    <w:rsid w:val="7D0F9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A4E915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BC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35EB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35EBC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4566FE"/>
    <w:pPr>
      <w:ind w:left="720"/>
      <w:contextualSpacing/>
    </w:pPr>
  </w:style>
  <w:style w:type="paragraph" w:customStyle="1" w:styleId="TableText">
    <w:name w:val="Table Text"/>
    <w:basedOn w:val="Normal"/>
    <w:autoRedefine/>
    <w:qFormat/>
    <w:rsid w:val="00C35EBC"/>
  </w:style>
  <w:style w:type="character" w:styleId="IntenseEmphasis">
    <w:name w:val="Intense Emphasis"/>
    <w:uiPriority w:val="21"/>
    <w:qFormat/>
    <w:rsid w:val="00C35EBC"/>
    <w:rPr>
      <w:b/>
      <w:i/>
    </w:rPr>
  </w:style>
  <w:style w:type="character" w:styleId="Hyperlink">
    <w:name w:val="Hyperlink"/>
    <w:basedOn w:val="DefaultParagraphFont"/>
    <w:uiPriority w:val="99"/>
    <w:unhideWhenUsed/>
    <w:rsid w:val="000E38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63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C7FFD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0C7FFD"/>
  </w:style>
  <w:style w:type="character" w:customStyle="1" w:styleId="eop">
    <w:name w:val="eop"/>
    <w:basedOn w:val="DefaultParagraphFont"/>
    <w:rsid w:val="000C7FFD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NumberedList1">
    <w:name w:val="Numbered List 1"/>
    <w:basedOn w:val="ListParagraph"/>
    <w:autoRedefine/>
    <w:qFormat/>
    <w:rsid w:val="006A7A02"/>
    <w:pPr>
      <w:numPr>
        <w:numId w:val="16"/>
      </w:numPr>
      <w:tabs>
        <w:tab w:val="left" w:pos="432"/>
        <w:tab w:val="left" w:pos="1577"/>
      </w:tabs>
      <w:spacing w:line="288" w:lineRule="auto"/>
    </w:pPr>
    <w:rPr>
      <w:rFonts w:eastAsiaTheme="minorHAnsi" w:cstheme="minorBidi"/>
      <w:color w:val="000000" w:themeColor="text1"/>
      <w:szCs w:val="20"/>
      <w:lang w:val="en-CA"/>
    </w:rPr>
  </w:style>
  <w:style w:type="paragraph" w:customStyle="1" w:styleId="NumberedList2">
    <w:name w:val="Numbered List 2"/>
    <w:autoRedefine/>
    <w:qFormat/>
    <w:rsid w:val="00060421"/>
    <w:pPr>
      <w:autoSpaceDE w:val="0"/>
      <w:autoSpaceDN w:val="0"/>
      <w:adjustRightInd w:val="0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38ADFD9006A40B2C60B7294404F82" ma:contentTypeVersion="13" ma:contentTypeDescription="Create a new document." ma:contentTypeScope="" ma:versionID="f66be4314ee34ed94a633c9c85e92c6a">
  <xsd:schema xmlns:xsd="http://www.w3.org/2001/XMLSchema" xmlns:xs="http://www.w3.org/2001/XMLSchema" xmlns:p="http://schemas.microsoft.com/office/2006/metadata/properties" xmlns:ns3="eacc3b6a-2b07-4c95-84a5-490eede95104" xmlns:ns4="14f2bcf5-708f-4e74-868c-372ce129f9c3" targetNamespace="http://schemas.microsoft.com/office/2006/metadata/properties" ma:root="true" ma:fieldsID="69e256d4cb557e57e4177bf794373883" ns3:_="" ns4:_="">
    <xsd:import namespace="eacc3b6a-2b07-4c95-84a5-490eede95104"/>
    <xsd:import namespace="14f2bcf5-708f-4e74-868c-372ce129f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c3b6a-2b07-4c95-84a5-490eede95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bcf5-708f-4e74-868c-372ce12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4E434-3101-46B4-B23C-87B6C8100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84850-D428-45E6-963A-4CCE9688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c3b6a-2b07-4c95-84a5-490eede95104"/>
    <ds:schemaRef ds:uri="14f2bcf5-708f-4e74-868c-372ce12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76FBE-E67E-4ECB-9E71-A7B257833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34CEF-9FBB-48E6-B4DC-DB7941E53CC8}">
  <ds:schemaRefs>
    <ds:schemaRef ds:uri="http://purl.org/dc/elements/1.1/"/>
    <ds:schemaRef ds:uri="http://schemas.microsoft.com/office/2006/metadata/properties"/>
    <ds:schemaRef ds:uri="14f2bcf5-708f-4e74-868c-372ce129f9c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cc3b6a-2b07-4c95-84a5-490eede951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2019)—Tenure Stream</vt:lpstr>
    </vt:vector>
  </TitlesOfParts>
  <Company>University of Toronto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2019)—Tenure Stream</dc:title>
  <dc:subject>Salary Letter (as of July 1, 2019)—Tenure Stream</dc:subject>
  <dc:creator>VP Faculty &amp; Academic Life</dc:creator>
  <cp:keywords/>
  <cp:lastModifiedBy>Catherine Maloney</cp:lastModifiedBy>
  <cp:revision>3</cp:revision>
  <cp:lastPrinted>2022-02-10T12:46:00Z</cp:lastPrinted>
  <dcterms:created xsi:type="dcterms:W3CDTF">2022-04-12T13:10:00Z</dcterms:created>
  <dcterms:modified xsi:type="dcterms:W3CDTF">2022-04-12T16:28:00Z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0x010100D7C38ADFD9006A40B2C60B7294404F82</vt:lpwstr>
  </property>
</Properties>
</file>